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301308" w:rsidRDefault="0094424E" w:rsidP="00D44968">
            <w:pPr>
              <w:suppressLineNumbers/>
              <w:jc w:val="both"/>
              <w:rPr>
                <w:rFonts w:ascii="Arial" w:hAnsi="Arial"/>
                <w:b/>
                <w:bCs/>
                <w:sz w:val="26"/>
                <w:szCs w:val="26"/>
                <w:rtl/>
              </w:rPr>
            </w:pPr>
            <w:r>
              <w:rPr>
                <w:rtl/>
              </w:rPr>
              <w:t xml:space="preserve"> </w:t>
            </w:r>
          </w:p>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tcPr>
          <w:p w:rsidR="00301308" w:rsidRDefault="00301308" w:rsidP="00E9269D">
            <w:pPr>
              <w:suppressLineNumbers/>
              <w:rPr>
                <w:rFonts w:ascii="Arial" w:hAnsi="Arial"/>
                <w:b/>
                <w:bCs/>
                <w:sz w:val="26"/>
                <w:szCs w:val="26"/>
                <w:rtl/>
              </w:rPr>
            </w:pPr>
          </w:p>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424E" w:rsidRPr="00DD05A8" w:rsidRDefault="0094424E" w:rsidP="00D44968">
            <w:pPr>
              <w:suppressLineNumbers/>
              <w:rPr>
                <w:rFonts w:ascii="Arial" w:hAnsi="Arial" w:cs="FrankRuehl"/>
                <w:sz w:val="26"/>
                <w:szCs w:val="26"/>
                <w:highlight w:val="yellow"/>
              </w:rPr>
            </w:pPr>
          </w:p>
        </w:tc>
      </w:tr>
    </w:tbl>
    <w:p w:rsidR="00301308" w:rsidRDefault="00301308" w:rsidP="00301308">
      <w:pPr>
        <w:spacing w:after="120"/>
        <w:rPr>
          <w:b/>
          <w:bCs/>
          <w:sz w:val="26"/>
          <w:szCs w:val="26"/>
          <w:rtl/>
        </w:rPr>
      </w:pPr>
    </w:p>
    <w:p w:rsidR="00301308" w:rsidRDefault="00301308" w:rsidP="0063299C">
      <w:pPr>
        <w:spacing w:after="120"/>
        <w:rPr>
          <w:b/>
          <w:bCs/>
          <w:sz w:val="26"/>
          <w:szCs w:val="26"/>
          <w:rtl/>
        </w:rPr>
      </w:pPr>
      <w:r>
        <w:rPr>
          <w:b/>
          <w:bCs/>
          <w:sz w:val="26"/>
          <w:szCs w:val="26"/>
          <w:rtl/>
        </w:rPr>
        <w:t>המבקשת</w:t>
      </w:r>
      <w:r>
        <w:rPr>
          <w:b/>
          <w:bCs/>
          <w:sz w:val="26"/>
          <w:szCs w:val="26"/>
          <w:rtl/>
        </w:rPr>
        <w:tab/>
      </w:r>
      <w:r>
        <w:rPr>
          <w:b/>
          <w:bCs/>
          <w:sz w:val="26"/>
          <w:szCs w:val="26"/>
          <w:rtl/>
        </w:rPr>
        <w:tab/>
      </w:r>
      <w:r>
        <w:rPr>
          <w:b/>
          <w:bCs/>
          <w:sz w:val="26"/>
          <w:szCs w:val="26"/>
          <w:rtl/>
        </w:rPr>
        <w:tab/>
      </w:r>
      <w:r w:rsidR="0063299C">
        <w:rPr>
          <w:rFonts w:hint="cs"/>
          <w:b/>
          <w:bCs/>
          <w:sz w:val="26"/>
          <w:szCs w:val="26"/>
          <w:rtl/>
        </w:rPr>
        <w:t>י. ו</w:t>
      </w:r>
    </w:p>
    <w:p w:rsidR="00301308" w:rsidRDefault="00301308" w:rsidP="00301308">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מאיה ויסמן</w:t>
      </w:r>
    </w:p>
    <w:p w:rsidR="00301308" w:rsidRDefault="00301308" w:rsidP="00301308">
      <w:pPr>
        <w:spacing w:after="120"/>
        <w:rPr>
          <w:b/>
          <w:bCs/>
          <w:sz w:val="26"/>
          <w:szCs w:val="26"/>
          <w:rtl/>
        </w:rPr>
      </w:pPr>
    </w:p>
    <w:p w:rsidR="00301308" w:rsidRDefault="00301308" w:rsidP="00301308">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נגד</w:t>
      </w:r>
    </w:p>
    <w:p w:rsidR="00301308" w:rsidRDefault="00301308" w:rsidP="00301308">
      <w:pPr>
        <w:spacing w:after="120"/>
        <w:rPr>
          <w:b/>
          <w:bCs/>
          <w:sz w:val="26"/>
          <w:szCs w:val="26"/>
          <w:rtl/>
        </w:rPr>
      </w:pPr>
    </w:p>
    <w:p w:rsidR="00301308" w:rsidRDefault="00301308" w:rsidP="0063299C">
      <w:pPr>
        <w:spacing w:after="120"/>
        <w:rPr>
          <w:b/>
          <w:bCs/>
          <w:sz w:val="26"/>
          <w:szCs w:val="26"/>
          <w:rtl/>
        </w:rPr>
      </w:pPr>
      <w:r>
        <w:rPr>
          <w:b/>
          <w:bCs/>
          <w:sz w:val="26"/>
          <w:szCs w:val="26"/>
          <w:rtl/>
        </w:rPr>
        <w:t>המשיב</w:t>
      </w:r>
      <w:r>
        <w:rPr>
          <w:b/>
          <w:bCs/>
          <w:sz w:val="26"/>
          <w:szCs w:val="26"/>
          <w:rtl/>
        </w:rPr>
        <w:tab/>
      </w:r>
      <w:r>
        <w:rPr>
          <w:b/>
          <w:bCs/>
          <w:sz w:val="26"/>
          <w:szCs w:val="26"/>
          <w:rtl/>
        </w:rPr>
        <w:tab/>
      </w:r>
      <w:r>
        <w:rPr>
          <w:b/>
          <w:bCs/>
          <w:sz w:val="26"/>
          <w:szCs w:val="26"/>
          <w:rtl/>
        </w:rPr>
        <w:tab/>
      </w:r>
      <w:r>
        <w:rPr>
          <w:b/>
          <w:bCs/>
          <w:sz w:val="26"/>
          <w:szCs w:val="26"/>
          <w:rtl/>
        </w:rPr>
        <w:tab/>
      </w:r>
      <w:r w:rsidR="0063299C">
        <w:rPr>
          <w:rFonts w:hint="cs"/>
          <w:b/>
          <w:bCs/>
          <w:sz w:val="26"/>
          <w:szCs w:val="26"/>
          <w:rtl/>
        </w:rPr>
        <w:t>ל. א</w:t>
      </w:r>
    </w:p>
    <w:p w:rsidR="00301308" w:rsidRDefault="00301308" w:rsidP="00301308">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רונן דליה</w:t>
      </w:r>
    </w:p>
    <w:p w:rsidR="00301308" w:rsidRDefault="00301308" w:rsidP="00301308">
      <w:pPr>
        <w:spacing w:after="120"/>
        <w:rPr>
          <w:b/>
          <w:bCs/>
          <w:sz w:val="26"/>
          <w:szCs w:val="26"/>
          <w:rtl/>
        </w:rPr>
      </w:pPr>
    </w:p>
    <w:p w:rsidR="00301308" w:rsidRDefault="00301308" w:rsidP="00301308">
      <w:pPr>
        <w:spacing w:after="120"/>
        <w:rPr>
          <w:b/>
          <w:bCs/>
          <w:sz w:val="26"/>
          <w:szCs w:val="26"/>
          <w:rtl/>
        </w:rPr>
      </w:pPr>
    </w:p>
    <w:p w:rsidR="00301308" w:rsidRDefault="00301308" w:rsidP="0063299C">
      <w:pPr>
        <w:spacing w:after="120"/>
        <w:rPr>
          <w:b/>
          <w:bCs/>
          <w:sz w:val="26"/>
          <w:szCs w:val="26"/>
          <w:rtl/>
        </w:rPr>
      </w:pPr>
      <w:r>
        <w:rPr>
          <w:b/>
          <w:bCs/>
          <w:sz w:val="26"/>
          <w:szCs w:val="26"/>
          <w:rtl/>
        </w:rPr>
        <w:t>בעניין הקטינים</w:t>
      </w:r>
      <w:r>
        <w:rPr>
          <w:b/>
          <w:bCs/>
          <w:sz w:val="26"/>
          <w:szCs w:val="26"/>
          <w:rtl/>
        </w:rPr>
        <w:tab/>
      </w:r>
      <w:r>
        <w:rPr>
          <w:b/>
          <w:bCs/>
          <w:sz w:val="26"/>
          <w:szCs w:val="26"/>
          <w:rtl/>
        </w:rPr>
        <w:tab/>
      </w:r>
      <w:r w:rsidR="0063299C">
        <w:rPr>
          <w:rFonts w:hint="cs"/>
          <w:b/>
          <w:bCs/>
          <w:sz w:val="26"/>
          <w:szCs w:val="26"/>
          <w:rtl/>
        </w:rPr>
        <w:t>ל. א</w:t>
      </w:r>
      <w:r>
        <w:rPr>
          <w:b/>
          <w:bCs/>
          <w:sz w:val="26"/>
          <w:szCs w:val="26"/>
          <w:rtl/>
        </w:rPr>
        <w:t xml:space="preserve"> ילידת </w:t>
      </w:r>
      <w:r w:rsidR="0063299C">
        <w:rPr>
          <w:rFonts w:hint="cs"/>
          <w:b/>
          <w:bCs/>
          <w:sz w:val="26"/>
          <w:szCs w:val="26"/>
          <w:rtl/>
        </w:rPr>
        <w:t>2016</w:t>
      </w:r>
    </w:p>
    <w:p w:rsidR="00301308" w:rsidRDefault="00301308" w:rsidP="0063299C">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ש</w:t>
      </w:r>
      <w:r w:rsidR="0063299C">
        <w:rPr>
          <w:rFonts w:hint="cs"/>
          <w:b/>
          <w:bCs/>
          <w:sz w:val="26"/>
          <w:szCs w:val="26"/>
          <w:rtl/>
        </w:rPr>
        <w:t>. א</w:t>
      </w:r>
      <w:r>
        <w:rPr>
          <w:b/>
          <w:bCs/>
          <w:sz w:val="26"/>
          <w:szCs w:val="26"/>
          <w:rtl/>
        </w:rPr>
        <w:t xml:space="preserve"> ילידת </w:t>
      </w:r>
      <w:r w:rsidR="0063299C">
        <w:rPr>
          <w:rFonts w:hint="cs"/>
          <w:b/>
          <w:bCs/>
          <w:sz w:val="26"/>
          <w:szCs w:val="26"/>
          <w:rtl/>
        </w:rPr>
        <w:t>2020</w:t>
      </w:r>
    </w:p>
    <w:p w:rsidR="00301308" w:rsidRDefault="00301308" w:rsidP="0063299C">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sidR="0063299C">
        <w:rPr>
          <w:b/>
          <w:bCs/>
          <w:sz w:val="26"/>
          <w:szCs w:val="26"/>
          <w:rtl/>
        </w:rPr>
        <w:t>ל</w:t>
      </w:r>
      <w:r w:rsidR="0063299C">
        <w:rPr>
          <w:rFonts w:hint="cs"/>
          <w:b/>
          <w:bCs/>
          <w:sz w:val="26"/>
          <w:szCs w:val="26"/>
          <w:rtl/>
        </w:rPr>
        <w:t xml:space="preserve">. א </w:t>
      </w:r>
      <w:r>
        <w:rPr>
          <w:b/>
          <w:bCs/>
          <w:sz w:val="26"/>
          <w:szCs w:val="26"/>
          <w:rtl/>
        </w:rPr>
        <w:t xml:space="preserve">יליד </w:t>
      </w:r>
      <w:r w:rsidR="0063299C">
        <w:rPr>
          <w:rFonts w:hint="cs"/>
          <w:b/>
          <w:bCs/>
          <w:sz w:val="26"/>
          <w:szCs w:val="26"/>
          <w:rtl/>
        </w:rPr>
        <w:t>2021</w:t>
      </w:r>
    </w:p>
    <w:p w:rsidR="00301308" w:rsidRDefault="00301308" w:rsidP="00301308">
      <w:pPr>
        <w:rPr>
          <w:rtl/>
        </w:rPr>
      </w:pPr>
    </w:p>
    <w:p w:rsidR="00301308" w:rsidRDefault="00301308" w:rsidP="00301308">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01308" w:rsidTr="00301308">
        <w:trPr>
          <w:jc w:val="center"/>
        </w:trPr>
        <w:tc>
          <w:tcPr>
            <w:tcW w:w="8820" w:type="dxa"/>
          </w:tcPr>
          <w:p w:rsidR="00301308" w:rsidRDefault="00301308">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301308" w:rsidRDefault="00301308">
            <w:pPr>
              <w:bidi w:val="0"/>
              <w:jc w:val="center"/>
              <w:rPr>
                <w:rFonts w:ascii="Arial" w:hAnsi="Arial"/>
                <w:b/>
                <w:bCs/>
                <w:noProof w:val="0"/>
                <w:sz w:val="28"/>
                <w:szCs w:val="28"/>
                <w:u w:val="single"/>
                <w:rtl/>
              </w:rPr>
            </w:pPr>
          </w:p>
        </w:tc>
      </w:tr>
    </w:tbl>
    <w:p w:rsidR="00301308" w:rsidRDefault="00301308" w:rsidP="00301308">
      <w:pPr>
        <w:spacing w:after="120" w:line="360" w:lineRule="auto"/>
        <w:ind w:left="720" w:hanging="720"/>
        <w:jc w:val="both"/>
        <w:rPr>
          <w:rFonts w:ascii="Arial" w:hAnsi="Arial"/>
          <w:noProof w:val="0"/>
          <w:rtl/>
        </w:rPr>
      </w:pPr>
      <w:r>
        <w:rPr>
          <w:rFonts w:ascii="Arial" w:hAnsi="Arial"/>
          <w:noProof w:val="0"/>
          <w:rtl/>
        </w:rPr>
        <w:t>1.</w:t>
      </w:r>
      <w:r>
        <w:rPr>
          <w:rFonts w:ascii="Arial" w:hAnsi="Arial"/>
          <w:noProof w:val="0"/>
          <w:rtl/>
        </w:rPr>
        <w:tab/>
        <w:t>עסקינן בבקשת רשות ערעור על החלטת בית המשפט לענייני משפחה בחיפה (כב' השופטת רויטל באום) בתיק תלה"מ 57609-09-22 מיום 4.4.23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נקבע כי זמני השהות של הקטינים עם אביהם המשיב יתקיימו מחוץ למרכז קשר, והכל כפי שיפורט להלן.</w:t>
      </w:r>
    </w:p>
    <w:p w:rsidR="00301308" w:rsidRDefault="00301308" w:rsidP="00301308">
      <w:pPr>
        <w:spacing w:after="120" w:line="360" w:lineRule="auto"/>
        <w:ind w:left="720" w:hanging="720"/>
      </w:pPr>
    </w:p>
    <w:p w:rsidR="00301308" w:rsidRDefault="00301308" w:rsidP="00301308">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301308" w:rsidRDefault="00301308" w:rsidP="00301308">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המבקשת והמשיב (להלן גם: "</w:t>
      </w:r>
      <w:r>
        <w:rPr>
          <w:rFonts w:ascii="Arial" w:hAnsi="Arial"/>
          <w:b/>
          <w:bCs/>
          <w:noProof w:val="0"/>
          <w:rtl/>
        </w:rPr>
        <w:t>הצדדים</w:t>
      </w:r>
      <w:r>
        <w:rPr>
          <w:rFonts w:ascii="Arial" w:hAnsi="Arial"/>
          <w:noProof w:val="0"/>
          <w:rtl/>
        </w:rPr>
        <w:t>"), ניהלו קשר זוגי משנת 2014. במסגרת יחסיהם נולדו לצדדים שלושת הקטינים שפרטיהם בכותרת.</w:t>
      </w:r>
    </w:p>
    <w:p w:rsidR="00301308" w:rsidRDefault="00301308" w:rsidP="00301308">
      <w:pPr>
        <w:spacing w:after="120" w:line="360" w:lineRule="auto"/>
        <w:ind w:left="720" w:hanging="720"/>
        <w:jc w:val="both"/>
        <w:rPr>
          <w:rFonts w:asciiTheme="minorHAnsi" w:hAnsiTheme="minorHAnsi"/>
          <w:noProof w:val="0"/>
        </w:rPr>
      </w:pPr>
      <w:r>
        <w:rPr>
          <w:rFonts w:ascii="Arial" w:hAnsi="Arial"/>
          <w:noProof w:val="0"/>
          <w:rtl/>
        </w:rPr>
        <w:t>3.</w:t>
      </w:r>
      <w:r>
        <w:rPr>
          <w:rFonts w:ascii="Arial" w:hAnsi="Arial"/>
          <w:noProof w:val="0"/>
          <w:rtl/>
        </w:rPr>
        <w:tab/>
      </w:r>
      <w:r>
        <w:rPr>
          <w:rFonts w:asciiTheme="minorHAnsi" w:hAnsiTheme="minorHAnsi"/>
          <w:noProof w:val="0"/>
          <w:rtl/>
        </w:rPr>
        <w:t>יחסי הצדדים עלו על שרטון ובחודש יוני 2022 עזב המשיב את דירת מגורי הצדדים.</w:t>
      </w:r>
    </w:p>
    <w:p w:rsidR="00301308" w:rsidRDefault="00301308" w:rsidP="004127F0">
      <w:pPr>
        <w:spacing w:after="120" w:line="360" w:lineRule="auto"/>
        <w:ind w:left="720" w:hanging="720"/>
        <w:jc w:val="both"/>
        <w:rPr>
          <w:rFonts w:asciiTheme="minorHAnsi" w:hAnsiTheme="minorHAnsi"/>
          <w:noProof w:val="0"/>
          <w:rtl/>
        </w:rPr>
      </w:pPr>
      <w:r>
        <w:rPr>
          <w:rFonts w:asciiTheme="minorHAnsi" w:hAnsiTheme="minorHAnsi"/>
          <w:noProof w:val="0"/>
          <w:rtl/>
        </w:rPr>
        <w:t>4.</w:t>
      </w:r>
      <w:r>
        <w:rPr>
          <w:rFonts w:asciiTheme="minorHAnsi" w:hAnsiTheme="minorHAnsi"/>
          <w:noProof w:val="0"/>
          <w:rtl/>
        </w:rPr>
        <w:tab/>
        <w:t>לטענת המבקשת, המשיב נהג כלפיה באלימות במספר מקרים, והיא הגישה בגינם תלונה במשטרה. בחודש אוקטובר 2022 הוגש נגד המשיב כתב אישום בגין תקיפה הגורמת חבלה של ממש – בן זוג; תקיפה</w:t>
      </w:r>
      <w:r w:rsidR="004127F0">
        <w:rPr>
          <w:rFonts w:asciiTheme="minorHAnsi" w:hAnsiTheme="minorHAnsi"/>
          <w:noProof w:val="0"/>
          <w:rtl/>
        </w:rPr>
        <w:t xml:space="preserve"> סתם – בן זוג (שתי עבירות) (ת"פ</w:t>
      </w:r>
      <w:r w:rsidR="004127F0">
        <w:rPr>
          <w:rFonts w:asciiTheme="minorHAnsi" w:hAnsiTheme="minorHAnsi" w:hint="cs"/>
          <w:noProof w:val="0"/>
          <w:rtl/>
        </w:rPr>
        <w:t xml:space="preserve"> </w:t>
      </w:r>
      <w:r w:rsidR="004127F0">
        <w:rPr>
          <w:rFonts w:asciiTheme="minorHAnsi" w:hAnsiTheme="minorHAnsi"/>
          <w:noProof w:val="0"/>
        </w:rPr>
        <w:t>xxx</w:t>
      </w:r>
      <w:r w:rsidR="004127F0">
        <w:rPr>
          <w:rFonts w:asciiTheme="minorHAnsi" w:hAnsiTheme="minorHAnsi" w:hint="cs"/>
          <w:noProof w:val="0"/>
          <w:rtl/>
        </w:rPr>
        <w:t xml:space="preserve">). </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lastRenderedPageBreak/>
        <w:t>5.</w:t>
      </w:r>
      <w:r>
        <w:rPr>
          <w:rFonts w:asciiTheme="minorHAnsi" w:hAnsiTheme="minorHAnsi"/>
          <w:noProof w:val="0"/>
          <w:rtl/>
        </w:rPr>
        <w:tab/>
        <w:t>לטענת המבקשת, מיום שהחלו ההליכים בין הצדדים, המשיב נוקט בפעולות חמורות המסכנות את שלומם הנפשי של הקטינים, אשר עדים לכאורה באופן יומיומי להסתה נגד המבקשת, אמם. עוד לטענת המבקשת, המשיב נוהג באופן אלים ותוקפני כמעט בכל פעם שמגיע לאסוף או להחזיר את הקטינים.</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6.</w:t>
      </w:r>
      <w:r>
        <w:rPr>
          <w:rFonts w:asciiTheme="minorHAnsi" w:hAnsiTheme="minorHAnsi"/>
          <w:noProof w:val="0"/>
          <w:rtl/>
        </w:rPr>
        <w:tab/>
        <w:t>בהחלטת בית המשפט קמא מיום 1.7.2022 נקבע כי זמני השהות של המשיב עם הקטינים יהיו מצומצמים וללא לינה; המשיב ישהה עם הקטינים בימי שני וחמישי בשעות 13-19, ובכל שבת שנייה בשעות 10-19. המשיב עתר בבקשת רשות ערעור בבית משפט זה, על החלטת זמני השהות אולם בקשתו נדחתה (רמ"ש 47767-07-22, כב' השופטת עדי חן ברק).</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7.</w:t>
      </w:r>
      <w:r>
        <w:rPr>
          <w:rFonts w:asciiTheme="minorHAnsi" w:hAnsiTheme="minorHAnsi"/>
          <w:noProof w:val="0"/>
          <w:rtl/>
        </w:rPr>
        <w:tab/>
        <w:t>ביום 26.12.2022 הופנו הצדדים במסגרת התיק קמא, להערכת מסוכנות במרכז אל"י, תוך שזמני השהות של המשיב עם הקטינים נותרו על כנם.</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8.</w:t>
      </w:r>
      <w:r>
        <w:rPr>
          <w:rFonts w:asciiTheme="minorHAnsi" w:hAnsiTheme="minorHAnsi"/>
          <w:noProof w:val="0"/>
          <w:rtl/>
        </w:rPr>
        <w:tab/>
        <w:t>ביום 21.3.2023 הועבר לתיק קמא עדכון ממחלקת הרווחה כי הצדדים סיימו את אבחון המסוכנות, אך המלצותיו טרם הוקראו לצדדים ובשל כך ביקשה העו"ס לס"ד להעבירו באופן חסוי לתיק קמא.</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9.</w:t>
      </w:r>
      <w:r>
        <w:rPr>
          <w:rFonts w:asciiTheme="minorHAnsi" w:hAnsiTheme="minorHAnsi"/>
          <w:noProof w:val="0"/>
          <w:rtl/>
        </w:rPr>
        <w:tab/>
        <w:t>לטענת המבקשת, ביום 28.3.2023 היא נקראה לסור בדחיפות למחלקת הרווחה, שם נאמר לה מפורשות כי נשקפת סכנה לה ולקטינים מהמשיב, והומלץ לה להיכנס באופן מידי למקלט לנשים מוכות (להלן: "</w:t>
      </w:r>
      <w:r>
        <w:rPr>
          <w:rFonts w:asciiTheme="minorHAnsi" w:hAnsiTheme="minorHAnsi"/>
          <w:b/>
          <w:bCs/>
          <w:noProof w:val="0"/>
          <w:rtl/>
        </w:rPr>
        <w:t>המקלט</w:t>
      </w:r>
      <w:r>
        <w:rPr>
          <w:rFonts w:asciiTheme="minorHAnsi" w:hAnsiTheme="minorHAnsi"/>
          <w:noProof w:val="0"/>
          <w:rtl/>
        </w:rPr>
        <w:t xml:space="preserve">") יחד עם הקטינים. המבקשת נעתרה להמלצה, וביום 29.3.23 הועברה יחד עם הקטינים למקלט. </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10.</w:t>
      </w:r>
      <w:r>
        <w:rPr>
          <w:rFonts w:asciiTheme="minorHAnsi" w:hAnsiTheme="minorHAnsi"/>
          <w:noProof w:val="0"/>
          <w:rtl/>
        </w:rPr>
        <w:tab/>
      </w:r>
      <w:r>
        <w:rPr>
          <w:rFonts w:asciiTheme="minorHAnsi" w:hAnsiTheme="minorHAnsi"/>
          <w:noProof w:val="0"/>
          <w:u w:val="single"/>
          <w:rtl/>
        </w:rPr>
        <w:t>ביום 30.3.23 נתן בית המשפט קמא החלטה נוספת בנוגע לזמני השהות בפסח, כדלקמן</w:t>
      </w:r>
      <w:r>
        <w:rPr>
          <w:rFonts w:asciiTheme="minorHAnsi" w:hAnsiTheme="minorHAnsi"/>
          <w:noProof w:val="0"/>
          <w:rtl/>
        </w:rPr>
        <w:t>:</w:t>
      </w:r>
    </w:p>
    <w:p w:rsidR="00301308" w:rsidRDefault="00301308" w:rsidP="00301308">
      <w:pPr>
        <w:spacing w:after="120" w:line="360" w:lineRule="auto"/>
        <w:ind w:left="1174" w:right="1020" w:hanging="720"/>
        <w:jc w:val="both"/>
        <w:rPr>
          <w:rFonts w:asciiTheme="minorHAnsi" w:hAnsiTheme="minorHAnsi"/>
          <w:noProof w:val="0"/>
          <w:rtl/>
        </w:rPr>
      </w:pPr>
      <w:r>
        <w:rPr>
          <w:rFonts w:asciiTheme="minorHAnsi" w:hAnsiTheme="minorHAnsi"/>
          <w:noProof w:val="0"/>
          <w:rtl/>
        </w:rPr>
        <w:tab/>
        <w:t>"</w:t>
      </w:r>
      <w:r>
        <w:rPr>
          <w:rFonts w:asciiTheme="minorHAnsi" w:hAnsiTheme="minorHAnsi"/>
          <w:b/>
          <w:bCs/>
          <w:noProof w:val="0"/>
          <w:rtl/>
        </w:rPr>
        <w:t>לאחר שעיינתי בעדכון מעו"ס לסדרי דין שהוגש אתמול אך הועבר לעיוני רק היום – אני מורה כי המפגשים של הקטינים עם האב יהיו כפי שנקבעו בהחלטתי מיום 25.3.23 הנ"ל אך זאת בפיקוח צד שלישי (מי מהוריו של האב) כאשר איסוף הקטינים והשבתם יהא מבית האם בידי מי מהוריו של האב או מי מבני משפחתו האחרים ולא בידי האב עצמו. בשלב זה ועד להבהרת התמונה בידי עו"ס, אני אוסרת על קיום כל קשר או מפגש בין האב לאם</w:t>
      </w:r>
      <w:r>
        <w:rPr>
          <w:rFonts w:asciiTheme="minorHAnsi" w:hAnsiTheme="minorHAnsi"/>
          <w:noProof w:val="0"/>
          <w:rtl/>
        </w:rPr>
        <w:t>".</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11.</w:t>
      </w:r>
      <w:r>
        <w:rPr>
          <w:rFonts w:asciiTheme="minorHAnsi" w:hAnsiTheme="minorHAnsi"/>
          <w:noProof w:val="0"/>
          <w:rtl/>
        </w:rPr>
        <w:tab/>
        <w:t>יובהר כי בהחלטה מיום 25.3.23 נקבע, כי במהלך חג הפסח זמני השהות עם המשיב יהיו כדלקמן: ביום 3.4.23 בשעות 10-19; ביום 5.4.23 ליל הסדר, בשעות 12-22; ביום 10.4.23 בשעות 10-19.</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12.</w:t>
      </w:r>
      <w:r>
        <w:rPr>
          <w:rFonts w:asciiTheme="minorHAnsi" w:hAnsiTheme="minorHAnsi"/>
          <w:noProof w:val="0"/>
          <w:rtl/>
        </w:rPr>
        <w:tab/>
        <w:t>ביום 2.4.23 הגישה המבקשת "בקשת הבהרה דחופה" בתיק קמא, במסגרתה ציינה כי בשל הימצאות המשיבה והקטינים במקלט – זמני השהות של המשיב עם הקטינים אינם יכולים להתקיים. עוד באותו היום הוגשה תגובת המשיב להבהרה וכן הודעה מעו"ס לסדרי דין המבקשת לוודא שבית המשפט קמא קיבל את העדכון בנוגע לכניסת המבקשת והקטינים למקלט.</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13.</w:t>
      </w:r>
      <w:r>
        <w:rPr>
          <w:rFonts w:asciiTheme="minorHAnsi" w:hAnsiTheme="minorHAnsi"/>
          <w:noProof w:val="0"/>
          <w:rtl/>
        </w:rPr>
        <w:tab/>
        <w:t>ביום 3.4.23 הוגשו לתיק קמא הערכות המסוכנות שנעשו לצדדים. בהתאם להחלטה מיום 25.3.23, אבחון המסוכנות הוגש לעיון בית המשפט בלבד (חסוי לצדדים).</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lastRenderedPageBreak/>
        <w:tab/>
        <w:t>בהחלטה מיום 3.4.23 צוין כי בית המשפט עיין בהערכות המסוכנות שנערכו לצדדים. נקבע כי אין מניעה שהקטינים ישהו עם המשיב, למרות שהמשיבה והקטינים נמצאים במקלט, וזאת בתנאי שמי מהורי המשיב ישהה עם הקטינים למשך כל זמן הביקור. כן נקבע כי גורם מטעם המבקשת ידאג להבאת הקטינים מהמקלט אל המלווה מטעם המשיב, וכן יקבל את הקטינים בשובם מהמשיב.</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14.</w:t>
      </w:r>
      <w:r>
        <w:rPr>
          <w:rFonts w:asciiTheme="minorHAnsi" w:hAnsiTheme="minorHAnsi"/>
          <w:noProof w:val="0"/>
          <w:rtl/>
        </w:rPr>
        <w:tab/>
      </w:r>
      <w:r>
        <w:rPr>
          <w:rFonts w:asciiTheme="minorHAnsi" w:hAnsiTheme="minorHAnsi"/>
          <w:noProof w:val="0"/>
          <w:u w:val="single"/>
          <w:rtl/>
        </w:rPr>
        <w:t>ביום 3.4.23 הוגש תסקיר מהמחלקה לשירותים חברתיים, להלן תמציתו</w:t>
      </w:r>
      <w:r>
        <w:rPr>
          <w:rFonts w:asciiTheme="minorHAnsi" w:hAnsiTheme="minorHAnsi"/>
          <w:noProof w:val="0"/>
          <w:rtl/>
        </w:rPr>
        <w:t>:</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מהמידע שהתקבל מהפסיכולוג המטפל במשיב, עולה דאגה רבה כלפי מצב המשיב. במהלך שיחת טלפון ארוכה שהתקיימה בין הפסיכולוג לגורמים מטפלים במחלקה נמסר מידע נוסף אשר לא נכתב בחוות דעת זו ואשר הגביר את הדאגה.</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לאור מצבו הנפשי של האב כפי שהשתקף בחוות הדעת, קיים חשש מתגובותיו כלפיי הקטינים במפגש שיתקיים שלא במרכז קשר, ללא ליווי של גורמי מקצוע בעת המפגש. ליווי זה יאפשר בקרה על מצבם של הילדים והתרשמות מהמפגש עצמו ומסיומו.</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בקשתו של המשיב להיפגש עם ילדיו, מובנת וכן מובנת חשיבות רציפות הקשר בינו לבין הקטינים. עדין יש לראות בראש ובראשונה את טובת הקטינים ולאחריה את טובת ההורים. במצב הדברים כיום ישנה דאגה ברורה וסימני שאלה רבים, כפי שמובאים בצורה ברורה הן באבחון המסוכנות כלפי הקטינים והן בחוות דעתו של הפסיכולוג המטפל במשיב.</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עו"ס המקלט התרשמה ממצבם הרגשי המורכב של הקטינים. באופן טבעי הקטינים נמצאים כיום בטלטלה רגשית ובבלבול רב. לגבי ילדי המשפחה, מקובל במצבים אלו לאפשר לילדים זמן התאקלמות והבנת המצב והסיטואציה המורכבת אשר נוצרה.</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ההמלצה היא על משמורת זמנית למבקשת, וקיום המפגשים עם המשיב במרכז קשר, מוקדם ככל הניתן, לאחר חופשת פסח. ככל שהתוכנית תתקדם יומלץ בהמשך על הוצאת המפגשים ממרכז הקשר.</w:t>
      </w:r>
    </w:p>
    <w:p w:rsidR="00301308" w:rsidRDefault="00301308" w:rsidP="00947A19">
      <w:pPr>
        <w:spacing w:after="120" w:line="360" w:lineRule="auto"/>
        <w:ind w:left="720" w:hanging="720"/>
        <w:jc w:val="both"/>
        <w:rPr>
          <w:rFonts w:asciiTheme="minorHAnsi" w:hAnsiTheme="minorHAnsi"/>
          <w:noProof w:val="0"/>
          <w:u w:val="single"/>
          <w:rtl/>
        </w:rPr>
      </w:pPr>
      <w:r>
        <w:rPr>
          <w:rFonts w:asciiTheme="minorHAnsi" w:hAnsiTheme="minorHAnsi"/>
          <w:noProof w:val="0"/>
          <w:rtl/>
        </w:rPr>
        <w:t>15.</w:t>
      </w:r>
      <w:r>
        <w:rPr>
          <w:rFonts w:asciiTheme="minorHAnsi" w:hAnsiTheme="minorHAnsi"/>
          <w:noProof w:val="0"/>
          <w:rtl/>
        </w:rPr>
        <w:tab/>
      </w:r>
      <w:r>
        <w:rPr>
          <w:rFonts w:asciiTheme="minorHAnsi" w:hAnsiTheme="minorHAnsi"/>
          <w:noProof w:val="0"/>
          <w:u w:val="single"/>
          <w:rtl/>
        </w:rPr>
        <w:t>לתסקיר הנ"ל צורף מכתבו של הפסיכולוג הקליני חיים קפלן (להלן: "</w:t>
      </w:r>
      <w:r>
        <w:rPr>
          <w:rFonts w:asciiTheme="minorHAnsi" w:hAnsiTheme="minorHAnsi"/>
          <w:b/>
          <w:bCs/>
          <w:noProof w:val="0"/>
          <w:u w:val="single"/>
          <w:rtl/>
        </w:rPr>
        <w:t>קפלן</w:t>
      </w:r>
      <w:r>
        <w:rPr>
          <w:rFonts w:asciiTheme="minorHAnsi" w:hAnsiTheme="minorHAnsi"/>
          <w:noProof w:val="0"/>
          <w:u w:val="single"/>
          <w:rtl/>
        </w:rPr>
        <w:t>") נושא תאריך 2</w:t>
      </w:r>
      <w:r w:rsidR="00947A19">
        <w:rPr>
          <w:rFonts w:asciiTheme="minorHAnsi" w:hAnsiTheme="minorHAnsi"/>
          <w:noProof w:val="0"/>
          <w:u w:val="single"/>
          <w:rtl/>
        </w:rPr>
        <w:t>9.3.23, שמוען ל</w:t>
      </w:r>
      <w:r>
        <w:rPr>
          <w:rFonts w:asciiTheme="minorHAnsi" w:hAnsiTheme="minorHAnsi"/>
          <w:noProof w:val="0"/>
          <w:u w:val="single"/>
          <w:rtl/>
        </w:rPr>
        <w:t xml:space="preserve">סגנית מנהלת מחלקת הרווחה בעיריית </w:t>
      </w:r>
      <w:r w:rsidR="00947A19">
        <w:rPr>
          <w:rFonts w:asciiTheme="minorHAnsi" w:hAnsiTheme="minorHAnsi"/>
          <w:noProof w:val="0"/>
          <w:u w:val="single"/>
        </w:rPr>
        <w:t>xxx</w:t>
      </w:r>
      <w:r>
        <w:rPr>
          <w:rFonts w:asciiTheme="minorHAnsi" w:hAnsiTheme="minorHAnsi"/>
          <w:noProof w:val="0"/>
          <w:u w:val="single"/>
          <w:rtl/>
        </w:rPr>
        <w:t>. תמצית הפנייה היא כדלקמן</w:t>
      </w:r>
      <w:r>
        <w:rPr>
          <w:rFonts w:asciiTheme="minorHAnsi" w:hAnsiTheme="minorHAnsi"/>
          <w:noProof w:val="0"/>
          <w:rtl/>
        </w:rPr>
        <w:t>:</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המשיב נמצא בטיפולו מאז חודש יולי 2022. המשיב פנה לקפלן סביב פרידתו מהמבקשת, תיאר כי "היא זרקה אותו מהבית", "מדווחת עליו דיווחים מסולפים לגורמי הרווחה" ולדעתו המבקשת מתמרנת את כולם והוא מובס במאבקים בינו לבינה.</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 xml:space="preserve">זמן קצר לאחר תחילת הטיפול של המשיב אצל קפלן, ביצע המשיב ניסיון אובדני. בעזרת אביו הופנה המשיב למרפאה פסיכיאטרית, שם הפסיכיאטר ראה בניסיון האובדני ריאקציה למצבו המסובך בחייו האישיים. הפסיכיאטר ראה במעשה האובדני הפרעה בהסתגלות, לא דכאון אנדוגני ולא הפרעת אישיות. המשיב קיבל תרופות להקלת הכאב הנפשי. </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lastRenderedPageBreak/>
        <w:tab/>
        <w:t>בחודשים שחלפו מאז פרידת הצדדים, המשיב מתאמץ לשמור על קשר טוב עם הקטינים. המשיב נתון במשבר מתמשך בו הוא מרוט עצבים מההמתנה והיותו נתון לעוד בדיקות. יש מקום לדון בדינמיקה האישיותית, בהתבצרות המשיב בעמדת הקורבן, בדמוניזציה שעושה כלפי המבקשת ובקושי של המשיב לווסת את תגובותיו כלפיה, אך המשיב לא פנוי לבירור זה בתקופה זו.</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 xml:space="preserve">הכוונה להרע את זמני השהות של המשיב עם הקטינים ולחייבו לפגשם רק במרכז קשר מהווה סיכון אובדני חמור עבורו. במרכז הקשר המשיב יחוש מושפל ויחוש כי ייגזל ממנו זמן עם ילדיו, שגם ככה מרגיש לו מועט מדי. </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ab/>
        <w:t xml:space="preserve">הסכנה האובדנית אינה נובעת מאי שפיות. קפלן לא שמע מהמשיב תכנים המרמזים על סכנה הנובעת מהמשיב כלפי הקטינים, וקפלן לא רואה כל סיבה למנוע מהמשיב לראות את הקטינים. </w:t>
      </w:r>
    </w:p>
    <w:p w:rsidR="00301308" w:rsidRDefault="00301308" w:rsidP="00301308">
      <w:pPr>
        <w:spacing w:after="120" w:line="360" w:lineRule="auto"/>
        <w:ind w:left="720" w:hanging="720"/>
        <w:jc w:val="both"/>
        <w:rPr>
          <w:rFonts w:asciiTheme="minorHAnsi" w:hAnsiTheme="minorHAnsi"/>
          <w:noProof w:val="0"/>
          <w:rtl/>
        </w:rPr>
      </w:pPr>
      <w:r>
        <w:rPr>
          <w:rFonts w:asciiTheme="minorHAnsi" w:hAnsiTheme="minorHAnsi"/>
          <w:noProof w:val="0"/>
          <w:rtl/>
        </w:rPr>
        <w:t>16.</w:t>
      </w:r>
      <w:r>
        <w:rPr>
          <w:rFonts w:asciiTheme="minorHAnsi" w:hAnsiTheme="minorHAnsi"/>
          <w:noProof w:val="0"/>
          <w:rtl/>
        </w:rPr>
        <w:tab/>
      </w:r>
      <w:r>
        <w:rPr>
          <w:rFonts w:asciiTheme="minorHAnsi" w:hAnsiTheme="minorHAnsi"/>
          <w:noProof w:val="0"/>
          <w:u w:val="single"/>
          <w:rtl/>
        </w:rPr>
        <w:t>ביום 4.4.23 ניתנה החלטת בית המשפט קמא, נשוא בקשת רשות הערעור דנן, כהאי לישנא</w:t>
      </w:r>
      <w:r>
        <w:rPr>
          <w:rFonts w:asciiTheme="minorHAnsi" w:hAnsiTheme="minorHAnsi"/>
          <w:noProof w:val="0"/>
          <w:rtl/>
        </w:rPr>
        <w:t>:</w:t>
      </w:r>
    </w:p>
    <w:p w:rsidR="00301308" w:rsidRDefault="00301308" w:rsidP="00301308">
      <w:pPr>
        <w:spacing w:after="120" w:line="360" w:lineRule="auto"/>
        <w:ind w:left="1174" w:right="1020" w:hanging="720"/>
        <w:jc w:val="both"/>
        <w:rPr>
          <w:rFonts w:asciiTheme="minorHAnsi" w:hAnsiTheme="minorHAnsi"/>
          <w:b/>
          <w:bCs/>
          <w:noProof w:val="0"/>
          <w:rtl/>
        </w:rPr>
      </w:pPr>
      <w:r>
        <w:rPr>
          <w:rFonts w:asciiTheme="minorHAnsi" w:hAnsiTheme="minorHAnsi"/>
          <w:noProof w:val="0"/>
          <w:rtl/>
        </w:rPr>
        <w:tab/>
        <w:t>"</w:t>
      </w:r>
      <w:r>
        <w:rPr>
          <w:rFonts w:asciiTheme="minorHAnsi" w:hAnsiTheme="minorHAnsi"/>
          <w:b/>
          <w:bCs/>
          <w:noProof w:val="0"/>
          <w:rtl/>
        </w:rPr>
        <w:t>אף אם בית המשפט יכול היה להתעלם לחלוטין ממצבו של האב או מטובתו - בית המשפט סבור, לאור המסמכים שהוגשו - כי טובתם של הילדים היא לפגוש אותו, בתנאי שבכל זמן המפגש יהיה אדם נוסף נוכח (מי מהוריו. עדיף שניהם).</w:t>
      </w:r>
    </w:p>
    <w:p w:rsidR="00301308" w:rsidRDefault="00301308" w:rsidP="00301308">
      <w:pPr>
        <w:spacing w:after="120" w:line="360" w:lineRule="auto"/>
        <w:ind w:left="1174" w:right="1020" w:hanging="720"/>
        <w:jc w:val="both"/>
        <w:rPr>
          <w:rFonts w:asciiTheme="minorHAnsi" w:hAnsiTheme="minorHAnsi"/>
          <w:b/>
          <w:bCs/>
          <w:noProof w:val="0"/>
          <w:rtl/>
        </w:rPr>
      </w:pPr>
      <w:r>
        <w:rPr>
          <w:rFonts w:asciiTheme="minorHAnsi" w:hAnsiTheme="minorHAnsi"/>
          <w:b/>
          <w:bCs/>
          <w:noProof w:val="0"/>
          <w:rtl/>
        </w:rPr>
        <w:tab/>
        <w:t>בית המשפט סבור, כי ליווי הילדים בידי גורם נוסף ישמור על בטחונם (הגם שכל המומחים מדברים על בטחונו של האב) מצד אחד, ירגיע את האב מצד שני ויבטיח קשר, ולו מינימלי, בין האב לילדים.</w:t>
      </w:r>
    </w:p>
    <w:p w:rsidR="00301308" w:rsidRDefault="00301308" w:rsidP="00301308">
      <w:pPr>
        <w:spacing w:after="120" w:line="360" w:lineRule="auto"/>
        <w:ind w:left="1174" w:right="1020" w:hanging="720"/>
        <w:jc w:val="both"/>
        <w:rPr>
          <w:rFonts w:asciiTheme="minorHAnsi" w:hAnsiTheme="minorHAnsi"/>
          <w:b/>
          <w:bCs/>
          <w:noProof w:val="0"/>
          <w:rtl/>
        </w:rPr>
      </w:pPr>
      <w:r>
        <w:rPr>
          <w:rFonts w:asciiTheme="minorHAnsi" w:hAnsiTheme="minorHAnsi"/>
          <w:b/>
          <w:bCs/>
          <w:noProof w:val="0"/>
          <w:rtl/>
        </w:rPr>
        <w:tab/>
        <w:t>בית המשפט סבור כי מניעת מפגשים בין הילדים לבין האב כפי שנקבע בהחלטות קודמות, בשילוב עם השינוי הדרסטי בשגרת חייהם של הילדים, יעביר מסר מדאיג לילדים כי אביהם מסוכן להם ויערער אותם עוד יותר - שעה שניראה מכל המסמכים שהוגשו כי האב בעיקר מסוכן לעצמו, וכי-כאשר הילדים עימו לא נשקפת סכנה - לא לילדים ולא לאב.</w:t>
      </w:r>
    </w:p>
    <w:p w:rsidR="00301308" w:rsidRDefault="00301308" w:rsidP="00301308">
      <w:pPr>
        <w:spacing w:after="120" w:line="360" w:lineRule="auto"/>
        <w:ind w:left="1174" w:right="1020" w:hanging="720"/>
        <w:jc w:val="both"/>
        <w:rPr>
          <w:rFonts w:asciiTheme="minorHAnsi" w:hAnsiTheme="minorHAnsi"/>
          <w:noProof w:val="0"/>
          <w:rtl/>
        </w:rPr>
      </w:pPr>
      <w:r>
        <w:rPr>
          <w:rFonts w:asciiTheme="minorHAnsi" w:hAnsiTheme="minorHAnsi"/>
          <w:b/>
          <w:bCs/>
          <w:noProof w:val="0"/>
          <w:rtl/>
        </w:rPr>
        <w:tab/>
        <w:t>כאמור - המפגשים יהיו בפיקוח מלא, וזהו תנאי לקיומם</w:t>
      </w:r>
      <w:r>
        <w:rPr>
          <w:rFonts w:asciiTheme="minorHAnsi" w:hAnsiTheme="minorHAnsi"/>
          <w:noProof w:val="0"/>
          <w:rtl/>
        </w:rPr>
        <w:t>".</w:t>
      </w:r>
    </w:p>
    <w:p w:rsidR="00301308" w:rsidRDefault="00301308" w:rsidP="00301308">
      <w:pPr>
        <w:spacing w:after="120" w:line="360" w:lineRule="auto"/>
        <w:jc w:val="both"/>
        <w:rPr>
          <w:rtl/>
        </w:rPr>
      </w:pPr>
    </w:p>
    <w:p w:rsidR="00301308" w:rsidRDefault="00301308" w:rsidP="00301308">
      <w:pPr>
        <w:spacing w:after="120" w:line="360" w:lineRule="auto"/>
        <w:jc w:val="both"/>
        <w:rPr>
          <w:b/>
          <w:bCs/>
          <w:u w:val="single"/>
          <w:rtl/>
        </w:rPr>
      </w:pPr>
      <w:r>
        <w:rPr>
          <w:b/>
          <w:bCs/>
          <w:u w:val="single"/>
          <w:rtl/>
        </w:rPr>
        <w:t>בקשה לעיכוב ביצוע</w:t>
      </w:r>
    </w:p>
    <w:p w:rsidR="00301308" w:rsidRDefault="00301308" w:rsidP="00301308">
      <w:pPr>
        <w:spacing w:after="120" w:line="360" w:lineRule="auto"/>
        <w:jc w:val="both"/>
        <w:rPr>
          <w:rtl/>
        </w:rPr>
      </w:pPr>
      <w:r>
        <w:rPr>
          <w:rtl/>
        </w:rPr>
        <w:t>17.</w:t>
      </w:r>
      <w:r>
        <w:rPr>
          <w:rtl/>
        </w:rPr>
        <w:tab/>
        <w:t xml:space="preserve">בד בבד עם הגשת בקשת רשות הערעור דנן (נזכיר כי הרמ"ש הוגש יום לפני ערב ליל סדר </w:t>
      </w:r>
      <w:r>
        <w:rPr>
          <w:rtl/>
        </w:rPr>
        <w:tab/>
        <w:t>פסח), הגישה המבקשת "</w:t>
      </w:r>
      <w:r>
        <w:rPr>
          <w:b/>
          <w:bCs/>
          <w:rtl/>
        </w:rPr>
        <w:t xml:space="preserve">בקשה דחופה לעיכוב ביצוע החלטה לרבות צו ארעי טרם תגובת </w:t>
      </w:r>
      <w:r>
        <w:rPr>
          <w:b/>
          <w:bCs/>
          <w:rtl/>
        </w:rPr>
        <w:tab/>
        <w:t>המשיב</w:t>
      </w:r>
      <w:r>
        <w:rPr>
          <w:rtl/>
        </w:rPr>
        <w:t xml:space="preserve">". במסגרת הבקשה נטען, כי ההחלטה קמא ניתנה בניגוד להמלצת גורמי הרווחה </w:t>
      </w:r>
      <w:r>
        <w:rPr>
          <w:rtl/>
        </w:rPr>
        <w:tab/>
        <w:t xml:space="preserve">בתסקירם, וכי לקטינים נשקפת סכנה מקיום זמני השהות במחיצת המשיב, אביהם. </w:t>
      </w:r>
    </w:p>
    <w:p w:rsidR="00301308" w:rsidRDefault="00301308" w:rsidP="00301308">
      <w:pPr>
        <w:spacing w:after="120" w:line="360" w:lineRule="auto"/>
        <w:jc w:val="both"/>
        <w:rPr>
          <w:rtl/>
        </w:rPr>
      </w:pPr>
      <w:r>
        <w:rPr>
          <w:rtl/>
        </w:rPr>
        <w:t>18.</w:t>
      </w:r>
      <w:r>
        <w:rPr>
          <w:rtl/>
        </w:rPr>
        <w:tab/>
      </w:r>
      <w:r>
        <w:rPr>
          <w:u w:val="single"/>
          <w:rtl/>
        </w:rPr>
        <w:t>הבקשה לעיכוב ביצוע הועברה לעיונו של השופט התורן, כב' השופט הבכיר יצחק כהן, אשר</w:t>
      </w:r>
      <w:r>
        <w:rPr>
          <w:rFonts w:hint="cs"/>
          <w:u w:val="single"/>
          <w:rtl/>
        </w:rPr>
        <w:t xml:space="preserve"> </w:t>
      </w:r>
      <w:r>
        <w:rPr>
          <w:u w:val="single"/>
          <w:rtl/>
        </w:rPr>
        <w:t xml:space="preserve">דחה </w:t>
      </w:r>
      <w:r w:rsidR="00570F7F" w:rsidRPr="00570F7F">
        <w:rPr>
          <w:rtl/>
        </w:rPr>
        <w:tab/>
      </w:r>
      <w:r>
        <w:rPr>
          <w:u w:val="single"/>
          <w:rtl/>
        </w:rPr>
        <w:t>אותה בהחלטה מיום 5.4.23 (ערב ליל סדר פסח), בנמקו</w:t>
      </w:r>
      <w:r>
        <w:rPr>
          <w:rtl/>
        </w:rPr>
        <w:t>:</w:t>
      </w:r>
    </w:p>
    <w:p w:rsidR="00301308" w:rsidRDefault="00301308" w:rsidP="00301308">
      <w:pPr>
        <w:spacing w:after="120" w:line="360" w:lineRule="auto"/>
        <w:ind w:left="454" w:right="1134"/>
        <w:jc w:val="both"/>
        <w:rPr>
          <w:rtl/>
        </w:rPr>
      </w:pPr>
      <w:r>
        <w:rPr>
          <w:rtl/>
        </w:rPr>
        <w:lastRenderedPageBreak/>
        <w:tab/>
      </w:r>
      <w:r>
        <w:rPr>
          <w:rtl/>
        </w:rPr>
        <w:tab/>
        <w:t>"</w:t>
      </w:r>
      <w:r>
        <w:rPr>
          <w:b/>
          <w:bCs/>
          <w:rtl/>
        </w:rPr>
        <w:t xml:space="preserve">מרצף ההחלטות שצורפו לבקשה נראה, שבית המשפט מצוי היטב </w:t>
      </w:r>
      <w:r>
        <w:rPr>
          <w:b/>
          <w:bCs/>
          <w:rtl/>
        </w:rPr>
        <w:tab/>
      </w:r>
      <w:r w:rsidR="00570F7F">
        <w:rPr>
          <w:b/>
          <w:bCs/>
          <w:rtl/>
        </w:rPr>
        <w:tab/>
      </w:r>
      <w:r>
        <w:rPr>
          <w:b/>
          <w:bCs/>
          <w:rtl/>
        </w:rPr>
        <w:tab/>
        <w:t xml:space="preserve">בסכסוך בין הצדדים, והחלטתו ניתנה לאחר ששקל את המלצות </w:t>
      </w:r>
      <w:r>
        <w:rPr>
          <w:b/>
          <w:bCs/>
          <w:rtl/>
        </w:rPr>
        <w:tab/>
      </w:r>
      <w:r>
        <w:rPr>
          <w:b/>
          <w:bCs/>
          <w:rtl/>
        </w:rPr>
        <w:tab/>
      </w:r>
      <w:r w:rsidR="00570F7F">
        <w:rPr>
          <w:b/>
          <w:bCs/>
          <w:rtl/>
        </w:rPr>
        <w:tab/>
      </w:r>
      <w:r>
        <w:rPr>
          <w:b/>
          <w:bCs/>
          <w:rtl/>
        </w:rPr>
        <w:tab/>
        <w:t xml:space="preserve">גורמי המקצוע, לרבות חוות דעתו של הפסיכולוג הקליני מר חיים </w:t>
      </w:r>
      <w:r>
        <w:rPr>
          <w:b/>
          <w:bCs/>
          <w:rtl/>
        </w:rPr>
        <w:tab/>
      </w:r>
      <w:r>
        <w:rPr>
          <w:b/>
          <w:bCs/>
          <w:rtl/>
        </w:rPr>
        <w:tab/>
      </w:r>
      <w:r w:rsidR="00570F7F">
        <w:rPr>
          <w:b/>
          <w:bCs/>
          <w:rtl/>
        </w:rPr>
        <w:tab/>
      </w:r>
      <w:r>
        <w:rPr>
          <w:b/>
          <w:bCs/>
          <w:rtl/>
        </w:rPr>
        <w:tab/>
        <w:t>קפלן, ממנה עולה, כי אין במשיב מסוכנות כלפי ילדיו.</w:t>
      </w:r>
    </w:p>
    <w:p w:rsidR="00301308" w:rsidRDefault="00301308" w:rsidP="00301308">
      <w:pPr>
        <w:spacing w:after="120" w:line="360" w:lineRule="auto"/>
        <w:ind w:left="454" w:right="1134"/>
        <w:jc w:val="both"/>
        <w:rPr>
          <w:rtl/>
        </w:rPr>
      </w:pPr>
      <w:r>
        <w:rPr>
          <w:b/>
          <w:bCs/>
          <w:rtl/>
        </w:rPr>
        <w:tab/>
      </w:r>
      <w:r>
        <w:rPr>
          <w:b/>
          <w:bCs/>
          <w:rtl/>
        </w:rPr>
        <w:tab/>
        <w:t xml:space="preserve">בית המשפט התנה את המפגש בכך שהמפגש יתקיים בנוכחות </w:t>
      </w:r>
      <w:r>
        <w:rPr>
          <w:b/>
          <w:bCs/>
          <w:rtl/>
        </w:rPr>
        <w:tab/>
      </w:r>
      <w:r>
        <w:rPr>
          <w:b/>
          <w:bCs/>
          <w:rtl/>
        </w:rPr>
        <w:tab/>
      </w:r>
      <w:r w:rsidR="00570F7F">
        <w:rPr>
          <w:b/>
          <w:bCs/>
          <w:rtl/>
        </w:rPr>
        <w:tab/>
      </w:r>
      <w:r>
        <w:rPr>
          <w:b/>
          <w:bCs/>
          <w:rtl/>
        </w:rPr>
        <w:tab/>
        <w:t xml:space="preserve">לפחות אחד מהוריו של המשיב, ועל רקע הכרתו של בית המשפט </w:t>
      </w:r>
      <w:r>
        <w:rPr>
          <w:b/>
          <w:bCs/>
          <w:rtl/>
        </w:rPr>
        <w:tab/>
      </w:r>
      <w:r>
        <w:rPr>
          <w:b/>
          <w:bCs/>
          <w:rtl/>
        </w:rPr>
        <w:tab/>
      </w:r>
      <w:r w:rsidR="00570F7F">
        <w:rPr>
          <w:b/>
          <w:bCs/>
          <w:rtl/>
        </w:rPr>
        <w:tab/>
      </w:r>
      <w:r>
        <w:rPr>
          <w:b/>
          <w:bCs/>
          <w:rtl/>
        </w:rPr>
        <w:tab/>
        <w:t xml:space="preserve">קמא את הסכסוך, ונראה כי  הדבר מאיין כל חשש לביטחונם של </w:t>
      </w:r>
      <w:r>
        <w:rPr>
          <w:b/>
          <w:bCs/>
          <w:rtl/>
        </w:rPr>
        <w:tab/>
      </w:r>
      <w:r>
        <w:rPr>
          <w:b/>
          <w:bCs/>
          <w:rtl/>
        </w:rPr>
        <w:tab/>
      </w:r>
      <w:r w:rsidR="00570F7F">
        <w:rPr>
          <w:b/>
          <w:bCs/>
          <w:rtl/>
        </w:rPr>
        <w:tab/>
      </w:r>
      <w:r>
        <w:rPr>
          <w:b/>
          <w:bCs/>
          <w:rtl/>
        </w:rPr>
        <w:tab/>
        <w:t>הקטינים</w:t>
      </w:r>
      <w:r>
        <w:rPr>
          <w:rtl/>
        </w:rPr>
        <w:t>".</w:t>
      </w:r>
    </w:p>
    <w:p w:rsidR="00301308" w:rsidRDefault="00301308" w:rsidP="00301308">
      <w:pPr>
        <w:spacing w:after="120" w:line="360" w:lineRule="auto"/>
        <w:jc w:val="both"/>
        <w:rPr>
          <w:rtl/>
        </w:rPr>
      </w:pPr>
    </w:p>
    <w:p w:rsidR="00301308" w:rsidRDefault="00301308" w:rsidP="00301308">
      <w:pPr>
        <w:spacing w:after="120" w:line="360" w:lineRule="auto"/>
        <w:jc w:val="both"/>
        <w:rPr>
          <w:b/>
          <w:bCs/>
          <w:u w:val="single"/>
          <w:rtl/>
        </w:rPr>
      </w:pPr>
      <w:r>
        <w:rPr>
          <w:b/>
          <w:bCs/>
          <w:u w:val="single"/>
          <w:rtl/>
        </w:rPr>
        <w:t>טענות המבקשת בבקשת רשות הערעור</w:t>
      </w:r>
    </w:p>
    <w:p w:rsidR="00301308" w:rsidRDefault="00301308" w:rsidP="00301308">
      <w:pPr>
        <w:spacing w:after="120" w:line="360" w:lineRule="auto"/>
        <w:jc w:val="both"/>
        <w:rPr>
          <w:rtl/>
        </w:rPr>
      </w:pPr>
      <w:r>
        <w:rPr>
          <w:rtl/>
        </w:rPr>
        <w:t>19.</w:t>
      </w:r>
      <w:r>
        <w:rPr>
          <w:rtl/>
        </w:rPr>
        <w:tab/>
      </w:r>
      <w:r>
        <w:rPr>
          <w:u w:val="single"/>
          <w:rtl/>
        </w:rPr>
        <w:t>להלן תמצית טענות המבקשת בבקשת רשות הערעור</w:t>
      </w:r>
      <w:r>
        <w:rPr>
          <w:rtl/>
        </w:rPr>
        <w:t>:</w:t>
      </w:r>
    </w:p>
    <w:p w:rsidR="00301308" w:rsidRDefault="00301308" w:rsidP="00301308">
      <w:pPr>
        <w:spacing w:after="120" w:line="360" w:lineRule="auto"/>
        <w:jc w:val="both"/>
        <w:rPr>
          <w:rtl/>
        </w:rPr>
      </w:pPr>
      <w:r>
        <w:rPr>
          <w:rtl/>
        </w:rPr>
        <w:tab/>
        <w:t>א.</w:t>
      </w:r>
      <w:r>
        <w:rPr>
          <w:rtl/>
        </w:rPr>
        <w:tab/>
        <w:t>ההחלטה קמא מסכנת את הקטינים ועומדת בניגוד מוחלט להמלצות אנשי המקצוע.</w:t>
      </w:r>
      <w:r>
        <w:rPr>
          <w:rFonts w:hint="cs"/>
          <w:rtl/>
        </w:rPr>
        <w:t xml:space="preserve"> </w:t>
      </w:r>
      <w:r w:rsidR="00570F7F">
        <w:rPr>
          <w:rtl/>
        </w:rPr>
        <w:tab/>
      </w:r>
      <w:r w:rsidR="00570F7F">
        <w:rPr>
          <w:rtl/>
        </w:rPr>
        <w:tab/>
      </w:r>
      <w:r>
        <w:rPr>
          <w:rtl/>
        </w:rPr>
        <w:t xml:space="preserve">ביהמ"ש קמא שגה כשלא אימץ את המלצות התסקיר, על פיהן המפגשים עם המשיב </w:t>
      </w:r>
      <w:r w:rsidR="00570F7F">
        <w:rPr>
          <w:rtl/>
        </w:rPr>
        <w:tab/>
      </w:r>
      <w:r w:rsidR="00570F7F">
        <w:rPr>
          <w:rtl/>
        </w:rPr>
        <w:tab/>
      </w:r>
      <w:r>
        <w:rPr>
          <w:rtl/>
        </w:rPr>
        <w:t>יתקיימו במרכז קשר בפיקוח של עובדת סוציאלית במועד קרוב ומייד</w:t>
      </w:r>
      <w:r>
        <w:rPr>
          <w:rFonts w:hint="cs"/>
          <w:rtl/>
        </w:rPr>
        <w:t xml:space="preserve"> </w:t>
      </w:r>
      <w:r>
        <w:rPr>
          <w:rtl/>
        </w:rPr>
        <w:t xml:space="preserve">לאחר חג הפסח. </w:t>
      </w:r>
    </w:p>
    <w:p w:rsidR="00301308" w:rsidRDefault="00301308" w:rsidP="00301308">
      <w:pPr>
        <w:spacing w:after="120" w:line="360" w:lineRule="auto"/>
        <w:jc w:val="both"/>
        <w:rPr>
          <w:rtl/>
        </w:rPr>
      </w:pPr>
      <w:r>
        <w:rPr>
          <w:rtl/>
        </w:rPr>
        <w:tab/>
        <w:t>ב.</w:t>
      </w:r>
      <w:r>
        <w:rPr>
          <w:rtl/>
        </w:rPr>
        <w:tab/>
        <w:t xml:space="preserve">בית המשפט קמא שגה כאשר התעלם מדיווח צוות המקלט על מצבם הרגשי המורכב של </w:t>
      </w:r>
      <w:r w:rsidR="00570F7F">
        <w:rPr>
          <w:rtl/>
        </w:rPr>
        <w:tab/>
      </w:r>
      <w:r w:rsidR="00570F7F">
        <w:rPr>
          <w:rtl/>
        </w:rPr>
        <w:tab/>
      </w:r>
      <w:r>
        <w:rPr>
          <w:rtl/>
        </w:rPr>
        <w:t xml:space="preserve">הקטינים, ממנו עולה כי נמסר לקטינים על ידי אנשי המקצוע, בהתאם לגילם, כי הם </w:t>
      </w:r>
      <w:r w:rsidR="00570F7F">
        <w:rPr>
          <w:rtl/>
        </w:rPr>
        <w:tab/>
      </w:r>
      <w:r w:rsidR="00570F7F">
        <w:rPr>
          <w:rtl/>
        </w:rPr>
        <w:tab/>
      </w:r>
      <w:r>
        <w:rPr>
          <w:rtl/>
        </w:rPr>
        <w:t>נמצאים במקלט בשל מצבו של האב.</w:t>
      </w:r>
    </w:p>
    <w:p w:rsidR="00301308" w:rsidRDefault="00301308" w:rsidP="00301308">
      <w:pPr>
        <w:spacing w:after="120" w:line="360" w:lineRule="auto"/>
        <w:jc w:val="both"/>
        <w:rPr>
          <w:rtl/>
        </w:rPr>
      </w:pPr>
      <w:r>
        <w:rPr>
          <w:rtl/>
        </w:rPr>
        <w:tab/>
        <w:t>ג.</w:t>
      </w:r>
      <w:r>
        <w:rPr>
          <w:rtl/>
        </w:rPr>
        <w:tab/>
        <w:t>בית המשפט קמא לא דאג לקבל ערובות ו/או התחייבות צדדים שלישיים לקיים</w:t>
      </w:r>
      <w:r w:rsidR="00570F7F">
        <w:rPr>
          <w:rFonts w:hint="cs"/>
          <w:rtl/>
        </w:rPr>
        <w:t xml:space="preserve"> </w:t>
      </w:r>
      <w:r>
        <w:rPr>
          <w:rtl/>
        </w:rPr>
        <w:t xml:space="preserve">פיקוח; </w:t>
      </w:r>
      <w:r w:rsidR="00570F7F">
        <w:rPr>
          <w:rtl/>
        </w:rPr>
        <w:tab/>
      </w:r>
      <w:r w:rsidR="00570F7F">
        <w:rPr>
          <w:rtl/>
        </w:rPr>
        <w:tab/>
      </w:r>
      <w:r>
        <w:rPr>
          <w:rtl/>
        </w:rPr>
        <w:t>וכן לא קבע דרכים אשר יבטיחו את חיסיון מיקומו של המקלט. ההחלטה קמא עלולה לסכן</w:t>
      </w:r>
      <w:r>
        <w:rPr>
          <w:rFonts w:hint="cs"/>
          <w:rtl/>
        </w:rPr>
        <w:t xml:space="preserve"> </w:t>
      </w:r>
      <w:r w:rsidR="00570F7F">
        <w:rPr>
          <w:rtl/>
        </w:rPr>
        <w:tab/>
      </w:r>
      <w:r w:rsidR="00570F7F">
        <w:rPr>
          <w:rtl/>
        </w:rPr>
        <w:tab/>
      </w:r>
      <w:r>
        <w:rPr>
          <w:rtl/>
        </w:rPr>
        <w:t xml:space="preserve">את שלומם הנפשי והפיזי של הקטינים – זאת לאור המלצות התסקיר הברורות והחד </w:t>
      </w:r>
      <w:r w:rsidR="00570F7F">
        <w:rPr>
          <w:rtl/>
        </w:rPr>
        <w:tab/>
      </w:r>
      <w:r w:rsidR="00570F7F">
        <w:rPr>
          <w:rtl/>
        </w:rPr>
        <w:tab/>
      </w:r>
      <w:r>
        <w:rPr>
          <w:rtl/>
        </w:rPr>
        <w:t>משמעיות.</w:t>
      </w:r>
    </w:p>
    <w:p w:rsidR="00301308" w:rsidRDefault="00301308" w:rsidP="00301308">
      <w:pPr>
        <w:spacing w:after="120" w:line="360" w:lineRule="auto"/>
        <w:jc w:val="both"/>
        <w:rPr>
          <w:rtl/>
        </w:rPr>
      </w:pPr>
      <w:r>
        <w:rPr>
          <w:rtl/>
        </w:rPr>
        <w:tab/>
        <w:t>ד.</w:t>
      </w:r>
      <w:r>
        <w:rPr>
          <w:rtl/>
        </w:rPr>
        <w:tab/>
        <w:t xml:space="preserve">מעמדם של תסקירים וחוו"ד מומחים, בהליכים הנוגעים לקטינים בכלל ולהסדרי שהות </w:t>
      </w:r>
      <w:r w:rsidR="00570F7F">
        <w:rPr>
          <w:rtl/>
        </w:rPr>
        <w:tab/>
      </w:r>
      <w:r w:rsidR="00570F7F">
        <w:rPr>
          <w:rtl/>
        </w:rPr>
        <w:tab/>
      </w:r>
      <w:r>
        <w:rPr>
          <w:rtl/>
        </w:rPr>
        <w:t xml:space="preserve">בפרט, נידונה פעמים רבות בפסיקה, </w:t>
      </w:r>
      <w:r w:rsidR="00947A19">
        <w:rPr>
          <w:rtl/>
        </w:rPr>
        <w:t xml:space="preserve">אשר עיגנה פעם אחר פעם את משקלם </w:t>
      </w:r>
      <w:r w:rsidR="00570F7F">
        <w:rPr>
          <w:rtl/>
        </w:rPr>
        <w:t>המשמעותי,</w:t>
      </w:r>
      <w:r w:rsidR="00570F7F">
        <w:rPr>
          <w:rFonts w:hint="cs"/>
          <w:rtl/>
        </w:rPr>
        <w:t xml:space="preserve"> </w:t>
      </w:r>
      <w:r w:rsidR="00570F7F">
        <w:rPr>
          <w:rtl/>
        </w:rPr>
        <w:tab/>
      </w:r>
      <w:r w:rsidR="00570F7F">
        <w:rPr>
          <w:rtl/>
        </w:rPr>
        <w:tab/>
      </w:r>
      <w:r>
        <w:rPr>
          <w:rtl/>
        </w:rPr>
        <w:t>נוכח</w:t>
      </w:r>
      <w:r w:rsidR="00570F7F">
        <w:rPr>
          <w:rFonts w:hint="cs"/>
          <w:rtl/>
        </w:rPr>
        <w:t xml:space="preserve"> </w:t>
      </w:r>
      <w:r>
        <w:rPr>
          <w:rtl/>
        </w:rPr>
        <w:t xml:space="preserve">הכלים והכישורים בהם ניחנים גורמי המקצוע לעומת הערכאות השיפוטיות. </w:t>
      </w:r>
    </w:p>
    <w:p w:rsidR="00301308" w:rsidRDefault="00301308" w:rsidP="00301308">
      <w:pPr>
        <w:spacing w:after="120" w:line="360" w:lineRule="auto"/>
        <w:jc w:val="both"/>
        <w:rPr>
          <w:rtl/>
        </w:rPr>
      </w:pPr>
      <w:r>
        <w:rPr>
          <w:rtl/>
        </w:rPr>
        <w:tab/>
      </w:r>
      <w:r>
        <w:rPr>
          <w:rtl/>
        </w:rPr>
        <w:tab/>
        <w:t xml:space="preserve">אף הובהר בפסיקה כי ככל שמדובר בגורם מקצועי שמונה ע"יי </w:t>
      </w:r>
      <w:r w:rsidR="00570F7F">
        <w:rPr>
          <w:rtl/>
        </w:rPr>
        <w:t>ביהמ"ש עצמו, אזי</w:t>
      </w:r>
      <w:r w:rsidR="00570F7F">
        <w:rPr>
          <w:rFonts w:hint="cs"/>
          <w:rtl/>
        </w:rPr>
        <w:t xml:space="preserve"> </w:t>
      </w:r>
      <w:r>
        <w:rPr>
          <w:rtl/>
        </w:rPr>
        <w:t>לא רק</w:t>
      </w:r>
      <w:r>
        <w:rPr>
          <w:rFonts w:hint="cs"/>
          <w:rtl/>
        </w:rPr>
        <w:t xml:space="preserve"> </w:t>
      </w:r>
      <w:r w:rsidR="00570F7F">
        <w:rPr>
          <w:rtl/>
        </w:rPr>
        <w:tab/>
      </w:r>
      <w:r w:rsidR="00570F7F">
        <w:rPr>
          <w:rtl/>
        </w:rPr>
        <w:tab/>
      </w:r>
      <w:r>
        <w:rPr>
          <w:rtl/>
        </w:rPr>
        <w:t xml:space="preserve">שאימוץ מסקנותיו יהווה נקודת המוצא אלא כי סטייה מהן תיעשה אך ורק </w:t>
      </w:r>
      <w:r>
        <w:rPr>
          <w:rtl/>
        </w:rPr>
        <w:tab/>
      </w:r>
      <w:r w:rsidR="00570F7F">
        <w:rPr>
          <w:rtl/>
        </w:rPr>
        <w:t>מפאת</w:t>
      </w:r>
      <w:r w:rsidR="00570F7F">
        <w:rPr>
          <w:rFonts w:hint="cs"/>
          <w:rtl/>
        </w:rPr>
        <w:t xml:space="preserve"> </w:t>
      </w:r>
      <w:r w:rsidR="00570F7F">
        <w:rPr>
          <w:rtl/>
        </w:rPr>
        <w:tab/>
      </w:r>
      <w:r w:rsidR="00570F7F">
        <w:rPr>
          <w:rtl/>
        </w:rPr>
        <w:tab/>
      </w:r>
      <w:r w:rsidR="00570F7F">
        <w:rPr>
          <w:rtl/>
        </w:rPr>
        <w:tab/>
      </w:r>
      <w:r>
        <w:rPr>
          <w:rtl/>
        </w:rPr>
        <w:t>טעמים כבדים משקל, שלא קיימים בענייננו אנו.</w:t>
      </w:r>
    </w:p>
    <w:p w:rsidR="00301308" w:rsidRDefault="00301308" w:rsidP="00570F7F">
      <w:pPr>
        <w:spacing w:after="120" w:line="360" w:lineRule="auto"/>
        <w:jc w:val="both"/>
        <w:rPr>
          <w:rtl/>
        </w:rPr>
      </w:pPr>
      <w:r>
        <w:rPr>
          <w:rtl/>
        </w:rPr>
        <w:tab/>
        <w:t>ה.</w:t>
      </w:r>
      <w:r>
        <w:rPr>
          <w:rtl/>
        </w:rPr>
        <w:tab/>
        <w:t>בית המשפט לערערו מתבקש לקבוע כי המלצות התסקיר יאומצו כך שתינתן</w:t>
      </w:r>
      <w:r>
        <w:rPr>
          <w:rFonts w:hint="cs"/>
          <w:rtl/>
        </w:rPr>
        <w:t xml:space="preserve"> </w:t>
      </w:r>
      <w:r>
        <w:rPr>
          <w:rtl/>
        </w:rPr>
        <w:t xml:space="preserve">משמורת </w:t>
      </w:r>
      <w:r w:rsidR="00570F7F">
        <w:rPr>
          <w:rtl/>
        </w:rPr>
        <w:tab/>
      </w:r>
      <w:r w:rsidR="00570F7F">
        <w:rPr>
          <w:rtl/>
        </w:rPr>
        <w:tab/>
      </w:r>
      <w:r>
        <w:rPr>
          <w:rtl/>
        </w:rPr>
        <w:t xml:space="preserve">זמנית למבקשת, והמפגשים עם המשיב יתקיימו במרכז קשר בהתאם </w:t>
      </w:r>
      <w:r w:rsidR="00570F7F">
        <w:rPr>
          <w:rFonts w:hint="cs"/>
          <w:rtl/>
        </w:rPr>
        <w:t>ל</w:t>
      </w:r>
      <w:r>
        <w:rPr>
          <w:rtl/>
        </w:rPr>
        <w:t>המלצות.</w:t>
      </w:r>
    </w:p>
    <w:p w:rsidR="00301308" w:rsidRDefault="00301308" w:rsidP="00301308">
      <w:pPr>
        <w:spacing w:after="120" w:line="360" w:lineRule="auto"/>
        <w:jc w:val="both"/>
        <w:rPr>
          <w:rtl/>
        </w:rPr>
      </w:pPr>
    </w:p>
    <w:p w:rsidR="00570F7F" w:rsidRDefault="00570F7F" w:rsidP="00301308">
      <w:pPr>
        <w:spacing w:after="120" w:line="360" w:lineRule="auto"/>
        <w:jc w:val="both"/>
        <w:rPr>
          <w:rtl/>
        </w:rPr>
      </w:pPr>
    </w:p>
    <w:p w:rsidR="00301308" w:rsidRDefault="00301308" w:rsidP="00301308">
      <w:pPr>
        <w:spacing w:after="120" w:line="360" w:lineRule="auto"/>
        <w:jc w:val="both"/>
        <w:rPr>
          <w:b/>
          <w:bCs/>
          <w:u w:val="single"/>
          <w:rtl/>
        </w:rPr>
      </w:pPr>
      <w:r>
        <w:rPr>
          <w:b/>
          <w:bCs/>
          <w:u w:val="single"/>
          <w:rtl/>
        </w:rPr>
        <w:lastRenderedPageBreak/>
        <w:t>המשך השתלשלות העניינים בתיק דנן ובתיק קמא</w:t>
      </w:r>
    </w:p>
    <w:p w:rsidR="00301308" w:rsidRDefault="00301308" w:rsidP="00301308">
      <w:pPr>
        <w:spacing w:after="120" w:line="360" w:lineRule="auto"/>
        <w:jc w:val="both"/>
        <w:rPr>
          <w:rtl/>
        </w:rPr>
      </w:pPr>
      <w:r>
        <w:rPr>
          <w:rtl/>
        </w:rPr>
        <w:t>20.</w:t>
      </w:r>
      <w:r>
        <w:rPr>
          <w:rtl/>
        </w:rPr>
        <w:tab/>
        <w:t xml:space="preserve">בקשת רשות הערעור הועברה לעיוני ולטיפולי ביום 13.4.23, מייד עם תום פגרת הפסח. </w:t>
      </w:r>
      <w:r>
        <w:rPr>
          <w:rtl/>
        </w:rPr>
        <w:tab/>
        <w:t xml:space="preserve">בהחלטתי מאותו יום קבעתי כי הבקשה מצריכה תשובה והוריתי להעבירה למשיב כדי שיתן </w:t>
      </w:r>
      <w:r w:rsidR="00570F7F">
        <w:rPr>
          <w:rtl/>
        </w:rPr>
        <w:tab/>
      </w:r>
      <w:r>
        <w:rPr>
          <w:rtl/>
        </w:rPr>
        <w:t>תשובתו.</w:t>
      </w:r>
    </w:p>
    <w:p w:rsidR="00301308" w:rsidRDefault="00301308" w:rsidP="00301308">
      <w:pPr>
        <w:spacing w:after="120" w:line="360" w:lineRule="auto"/>
        <w:jc w:val="both"/>
        <w:rPr>
          <w:rtl/>
        </w:rPr>
      </w:pPr>
      <w:r>
        <w:rPr>
          <w:rtl/>
        </w:rPr>
        <w:t>21.</w:t>
      </w:r>
      <w:r>
        <w:rPr>
          <w:rtl/>
        </w:rPr>
        <w:tab/>
      </w:r>
      <w:r>
        <w:rPr>
          <w:u w:val="single"/>
          <w:rtl/>
        </w:rPr>
        <w:t>עיון בתיק קמא מלמד כי מאז הוגשה בקשת רשות הערעור דנן, חלו התפתחויות כדלקמן</w:t>
      </w:r>
      <w:r>
        <w:rPr>
          <w:rtl/>
        </w:rPr>
        <w:t>:</w:t>
      </w:r>
    </w:p>
    <w:p w:rsidR="00301308" w:rsidRDefault="00301308" w:rsidP="00301308">
      <w:pPr>
        <w:spacing w:after="120" w:line="360" w:lineRule="auto"/>
        <w:jc w:val="both"/>
        <w:rPr>
          <w:rtl/>
        </w:rPr>
      </w:pPr>
      <w:r>
        <w:rPr>
          <w:rtl/>
        </w:rPr>
        <w:tab/>
        <w:t>א.</w:t>
      </w:r>
      <w:r>
        <w:rPr>
          <w:rtl/>
        </w:rPr>
        <w:tab/>
        <w:t xml:space="preserve">בבקשת המבקשת, שנקלטה ביום 13.4.23, צוין כי נוכח דחיית בקשת עיכוב הביצוע ברמ"ש </w:t>
      </w:r>
      <w:r w:rsidR="00570F7F">
        <w:rPr>
          <w:rtl/>
        </w:rPr>
        <w:tab/>
      </w:r>
      <w:r w:rsidR="00570F7F">
        <w:rPr>
          <w:rtl/>
        </w:rPr>
        <w:tab/>
      </w:r>
      <w:r>
        <w:rPr>
          <w:rtl/>
        </w:rPr>
        <w:t xml:space="preserve">זה, המשיבה והקטינים עזבו את המקלט בערב ליל סדר פסח והם אינם שוהים שם יותר, </w:t>
      </w:r>
      <w:r w:rsidR="00570F7F">
        <w:rPr>
          <w:rtl/>
        </w:rPr>
        <w:tab/>
      </w:r>
      <w:r w:rsidR="00570F7F">
        <w:rPr>
          <w:rtl/>
        </w:rPr>
        <w:tab/>
      </w:r>
      <w:r>
        <w:rPr>
          <w:rtl/>
        </w:rPr>
        <w:t>אלא בביתם.</w:t>
      </w:r>
    </w:p>
    <w:p w:rsidR="00301308" w:rsidRDefault="00301308" w:rsidP="00570F7F">
      <w:pPr>
        <w:spacing w:after="120" w:line="360" w:lineRule="auto"/>
        <w:jc w:val="both"/>
        <w:rPr>
          <w:rtl/>
        </w:rPr>
      </w:pPr>
      <w:r>
        <w:rPr>
          <w:rtl/>
        </w:rPr>
        <w:tab/>
        <w:t>ב.</w:t>
      </w:r>
      <w:r>
        <w:rPr>
          <w:rtl/>
        </w:rPr>
        <w:tab/>
        <w:t>ביום 13.4.23 ניתנה החלטה בתיק קמא, לפיה "</w:t>
      </w:r>
      <w:r>
        <w:rPr>
          <w:b/>
          <w:bCs/>
          <w:rtl/>
        </w:rPr>
        <w:t>זמני ה</w:t>
      </w:r>
      <w:r w:rsidR="00570F7F">
        <w:rPr>
          <w:b/>
          <w:bCs/>
          <w:rtl/>
        </w:rPr>
        <w:t>שהות הרגילים של הילדים</w:t>
      </w:r>
      <w:r w:rsidR="00570F7F">
        <w:rPr>
          <w:rFonts w:hint="cs"/>
          <w:b/>
          <w:bCs/>
          <w:rtl/>
        </w:rPr>
        <w:t xml:space="preserve"> </w:t>
      </w:r>
      <w:r>
        <w:rPr>
          <w:b/>
          <w:bCs/>
          <w:rtl/>
        </w:rPr>
        <w:t xml:space="preserve">עם האב </w:t>
      </w:r>
      <w:r w:rsidR="00570F7F">
        <w:rPr>
          <w:b/>
          <w:bCs/>
          <w:rtl/>
        </w:rPr>
        <w:tab/>
      </w:r>
      <w:r w:rsidR="00570F7F">
        <w:rPr>
          <w:b/>
          <w:bCs/>
          <w:rtl/>
        </w:rPr>
        <w:tab/>
      </w:r>
      <w:r>
        <w:rPr>
          <w:b/>
          <w:bCs/>
          <w:rtl/>
        </w:rPr>
        <w:t>ימשיכו להתקיים כפי שנקבע – אך בפיקוח (קרי:נוכחות מי מהוריו), כפי שנקבע גם כן</w:t>
      </w:r>
      <w:r>
        <w:rPr>
          <w:rtl/>
        </w:rPr>
        <w:t xml:space="preserve">". </w:t>
      </w:r>
    </w:p>
    <w:p w:rsidR="00301308" w:rsidRDefault="00301308" w:rsidP="00301308">
      <w:pPr>
        <w:spacing w:after="120" w:line="360" w:lineRule="auto"/>
        <w:jc w:val="both"/>
        <w:rPr>
          <w:rtl/>
        </w:rPr>
      </w:pPr>
      <w:r>
        <w:rPr>
          <w:rtl/>
        </w:rPr>
        <w:tab/>
        <w:t>ג.</w:t>
      </w:r>
      <w:r>
        <w:rPr>
          <w:rtl/>
        </w:rPr>
        <w:tab/>
        <w:t>בהמשך אותו יום, 13.4.23 ניתנה החלטה נוספת בתיק</w:t>
      </w:r>
      <w:r w:rsidR="00570F7F">
        <w:rPr>
          <w:rtl/>
        </w:rPr>
        <w:t xml:space="preserve"> קמא, בהמשך לבקשת</w:t>
      </w:r>
      <w:r w:rsidR="00947A19">
        <w:rPr>
          <w:rFonts w:hint="cs"/>
          <w:rtl/>
        </w:rPr>
        <w:t xml:space="preserve"> </w:t>
      </w:r>
      <w:r>
        <w:rPr>
          <w:rtl/>
        </w:rPr>
        <w:t xml:space="preserve">המבקשת </w:t>
      </w:r>
      <w:r w:rsidR="00570F7F">
        <w:rPr>
          <w:rtl/>
        </w:rPr>
        <w:tab/>
      </w:r>
      <w:r w:rsidR="00570F7F">
        <w:rPr>
          <w:rtl/>
        </w:rPr>
        <w:tab/>
      </w:r>
      <w:r>
        <w:rPr>
          <w:rtl/>
        </w:rPr>
        <w:t>למתן הוראות נוספות באשר לקיום זמני שהות בפיקוח וכן צו הרחקה למשיב:</w:t>
      </w:r>
    </w:p>
    <w:p w:rsidR="00301308" w:rsidRDefault="00301308" w:rsidP="00301308">
      <w:pPr>
        <w:spacing w:after="120" w:line="360" w:lineRule="auto"/>
        <w:ind w:left="454" w:right="1020"/>
        <w:jc w:val="both"/>
        <w:rPr>
          <w:b/>
          <w:bCs/>
          <w:rtl/>
        </w:rPr>
      </w:pPr>
      <w:r>
        <w:rPr>
          <w:rtl/>
        </w:rPr>
        <w:tab/>
      </w:r>
      <w:r>
        <w:rPr>
          <w:rtl/>
        </w:rPr>
        <w:tab/>
        <w:t>"</w:t>
      </w:r>
      <w:r>
        <w:rPr>
          <w:b/>
          <w:bCs/>
          <w:rtl/>
        </w:rPr>
        <w:t>ניתנו לצדדים די והותר החלטות בעניין זה.</w:t>
      </w:r>
    </w:p>
    <w:p w:rsidR="00301308" w:rsidRDefault="00301308" w:rsidP="00301308">
      <w:pPr>
        <w:spacing w:after="120" w:line="360" w:lineRule="auto"/>
        <w:ind w:left="454" w:right="1020"/>
        <w:jc w:val="both"/>
        <w:rPr>
          <w:b/>
          <w:bCs/>
          <w:rtl/>
        </w:rPr>
      </w:pPr>
      <w:r>
        <w:rPr>
          <w:b/>
          <w:bCs/>
          <w:rtl/>
        </w:rPr>
        <w:tab/>
      </w:r>
      <w:r>
        <w:rPr>
          <w:b/>
          <w:bCs/>
          <w:rtl/>
        </w:rPr>
        <w:tab/>
        <w:t xml:space="preserve">על ההורים נאסר להיות בקשר זה עם זו (עם דגש על מפגשים או כל </w:t>
      </w:r>
      <w:r>
        <w:rPr>
          <w:b/>
          <w:bCs/>
          <w:rtl/>
        </w:rPr>
        <w:tab/>
      </w:r>
      <w:r>
        <w:rPr>
          <w:b/>
          <w:bCs/>
          <w:rtl/>
        </w:rPr>
        <w:tab/>
      </w:r>
      <w:r w:rsidR="00570F7F">
        <w:rPr>
          <w:b/>
          <w:bCs/>
          <w:rtl/>
        </w:rPr>
        <w:tab/>
      </w:r>
      <w:r>
        <w:rPr>
          <w:b/>
          <w:bCs/>
          <w:rtl/>
        </w:rPr>
        <w:t xml:space="preserve">קשר אחר בין האב לאם), וזאת עד להחלטה אחרת. </w:t>
      </w:r>
    </w:p>
    <w:p w:rsidR="00301308" w:rsidRDefault="00301308" w:rsidP="00301308">
      <w:pPr>
        <w:spacing w:after="120" w:line="360" w:lineRule="auto"/>
        <w:ind w:right="1020"/>
        <w:jc w:val="both"/>
        <w:rPr>
          <w:rtl/>
        </w:rPr>
      </w:pPr>
      <w:r>
        <w:rPr>
          <w:b/>
          <w:bCs/>
          <w:rtl/>
        </w:rPr>
        <w:tab/>
      </w:r>
      <w:r>
        <w:rPr>
          <w:b/>
          <w:bCs/>
          <w:rtl/>
        </w:rPr>
        <w:tab/>
        <w:t>זמני השהות של הילדים עם האב - ימשכו, ובפיקוח. אין צורך</w:t>
      </w:r>
      <w:r>
        <w:rPr>
          <w:rFonts w:hint="cs"/>
          <w:b/>
          <w:bCs/>
          <w:rtl/>
        </w:rPr>
        <w:t xml:space="preserve"> </w:t>
      </w:r>
      <w:r>
        <w:rPr>
          <w:b/>
          <w:bCs/>
          <w:rtl/>
        </w:rPr>
        <w:tab/>
      </w:r>
      <w:r>
        <w:rPr>
          <w:b/>
          <w:bCs/>
          <w:rtl/>
        </w:rPr>
        <w:tab/>
      </w:r>
      <w:r w:rsidR="00570F7F">
        <w:rPr>
          <w:b/>
          <w:bCs/>
          <w:rtl/>
        </w:rPr>
        <w:tab/>
      </w:r>
      <w:r>
        <w:rPr>
          <w:b/>
          <w:bCs/>
          <w:rtl/>
        </w:rPr>
        <w:tab/>
        <w:t xml:space="preserve">בערובות או בערבונות; בית המשפט סמוך ובטוח, כפי שאף נכתב </w:t>
      </w:r>
      <w:r>
        <w:rPr>
          <w:b/>
          <w:bCs/>
          <w:rtl/>
        </w:rPr>
        <w:tab/>
      </w:r>
      <w:r>
        <w:rPr>
          <w:b/>
          <w:bCs/>
          <w:rtl/>
        </w:rPr>
        <w:tab/>
      </w:r>
      <w:r w:rsidR="00570F7F">
        <w:rPr>
          <w:b/>
          <w:bCs/>
          <w:rtl/>
        </w:rPr>
        <w:tab/>
      </w:r>
      <w:r>
        <w:rPr>
          <w:b/>
          <w:bCs/>
          <w:rtl/>
        </w:rPr>
        <w:tab/>
        <w:t xml:space="preserve">באחת מהבקשות שהוגשו מטעם האם, שהוריו של האב מודעים </w:t>
      </w:r>
      <w:r>
        <w:rPr>
          <w:b/>
          <w:bCs/>
          <w:rtl/>
        </w:rPr>
        <w:tab/>
      </w:r>
      <w:r>
        <w:rPr>
          <w:b/>
          <w:bCs/>
          <w:rtl/>
        </w:rPr>
        <w:tab/>
      </w:r>
      <w:r w:rsidR="00570F7F">
        <w:rPr>
          <w:b/>
          <w:bCs/>
          <w:rtl/>
        </w:rPr>
        <w:tab/>
      </w:r>
      <w:r w:rsidR="005159F9">
        <w:rPr>
          <w:b/>
          <w:bCs/>
          <w:rtl/>
        </w:rPr>
        <w:tab/>
      </w:r>
      <w:r>
        <w:rPr>
          <w:b/>
          <w:bCs/>
          <w:rtl/>
        </w:rPr>
        <w:t xml:space="preserve">לרגישות מצבו ויתגייסו לסייע. על האם לדאוג כי מי מטעמה יוציא </w:t>
      </w:r>
      <w:r>
        <w:rPr>
          <w:b/>
          <w:bCs/>
          <w:rtl/>
        </w:rPr>
        <w:tab/>
      </w:r>
      <w:r w:rsidR="00570F7F">
        <w:rPr>
          <w:b/>
          <w:bCs/>
          <w:rtl/>
        </w:rPr>
        <w:tab/>
      </w:r>
      <w:r>
        <w:rPr>
          <w:b/>
          <w:bCs/>
          <w:rtl/>
        </w:rPr>
        <w:tab/>
        <w:t xml:space="preserve">את הקטינים מביתה לידי מי מטעמו של האב, ויקבל אותם בשובם </w:t>
      </w:r>
      <w:r>
        <w:rPr>
          <w:b/>
          <w:bCs/>
          <w:rtl/>
        </w:rPr>
        <w:tab/>
      </w:r>
      <w:r w:rsidR="00570F7F">
        <w:rPr>
          <w:b/>
          <w:bCs/>
          <w:rtl/>
        </w:rPr>
        <w:tab/>
      </w:r>
      <w:r>
        <w:rPr>
          <w:b/>
          <w:bCs/>
          <w:rtl/>
        </w:rPr>
        <w:tab/>
        <w:t>מהביקור אצל האב</w:t>
      </w:r>
      <w:r>
        <w:rPr>
          <w:rtl/>
        </w:rPr>
        <w:t>".</w:t>
      </w:r>
    </w:p>
    <w:p w:rsidR="00947A19" w:rsidRDefault="00301308" w:rsidP="00947A19">
      <w:pPr>
        <w:spacing w:after="120" w:line="360" w:lineRule="auto"/>
        <w:jc w:val="both"/>
        <w:rPr>
          <w:b/>
          <w:bCs/>
          <w:rtl/>
        </w:rPr>
      </w:pPr>
      <w:r>
        <w:rPr>
          <w:rtl/>
        </w:rPr>
        <w:tab/>
        <w:t>ד.</w:t>
      </w:r>
      <w:r>
        <w:rPr>
          <w:rtl/>
        </w:rPr>
        <w:tab/>
        <w:t xml:space="preserve">ביום 16.4.23 נסרק לתיק קמא "עדכון לאבחון מסוכנות" </w:t>
      </w:r>
      <w:r w:rsidR="005159F9">
        <w:rPr>
          <w:rtl/>
        </w:rPr>
        <w:t xml:space="preserve">מיום 29.3.23, מאת העו"ס לסדרי </w:t>
      </w:r>
      <w:r w:rsidR="00570F7F">
        <w:rPr>
          <w:rtl/>
        </w:rPr>
        <w:tab/>
      </w:r>
      <w:r w:rsidR="00570F7F">
        <w:rPr>
          <w:rtl/>
        </w:rPr>
        <w:tab/>
      </w:r>
      <w:r>
        <w:rPr>
          <w:rtl/>
        </w:rPr>
        <w:t>דין מהמחלקה לשירותים חברתיים. לעדכון צורף מכתב</w:t>
      </w:r>
      <w:r w:rsidR="005159F9">
        <w:rPr>
          <w:rtl/>
        </w:rPr>
        <w:t xml:space="preserve"> ממרכז אל"י (שערך לצדדים בתיק </w:t>
      </w:r>
      <w:r w:rsidR="00570F7F">
        <w:rPr>
          <w:rtl/>
        </w:rPr>
        <w:tab/>
      </w:r>
      <w:r w:rsidR="00570F7F">
        <w:rPr>
          <w:rtl/>
        </w:rPr>
        <w:tab/>
      </w:r>
      <w:r>
        <w:rPr>
          <w:rtl/>
        </w:rPr>
        <w:t xml:space="preserve">את אבחוני המסוכנות), בו נאמר "... </w:t>
      </w:r>
      <w:r>
        <w:rPr>
          <w:b/>
          <w:bCs/>
          <w:rtl/>
        </w:rPr>
        <w:t>לאור מידע חדש שהגי</w:t>
      </w:r>
      <w:r w:rsidR="00947A19">
        <w:rPr>
          <w:b/>
          <w:bCs/>
          <w:rtl/>
        </w:rPr>
        <w:t>ע אלינו לגבי מצבו הנפשי של</w:t>
      </w:r>
      <w:r w:rsidR="00947A19">
        <w:rPr>
          <w:rFonts w:hint="cs"/>
          <w:b/>
          <w:bCs/>
          <w:rtl/>
        </w:rPr>
        <w:t xml:space="preserve"> </w:t>
      </w:r>
      <w:r w:rsidR="00947A19">
        <w:rPr>
          <w:b/>
          <w:bCs/>
          <w:rtl/>
        </w:rPr>
        <w:tab/>
      </w:r>
      <w:r w:rsidR="00947A19">
        <w:rPr>
          <w:b/>
          <w:bCs/>
          <w:rtl/>
        </w:rPr>
        <w:tab/>
      </w:r>
      <w:r w:rsidR="005159F9">
        <w:rPr>
          <w:b/>
          <w:bCs/>
          <w:rtl/>
        </w:rPr>
        <w:t xml:space="preserve">מר </w:t>
      </w:r>
      <w:r w:rsidR="00947A19">
        <w:rPr>
          <w:rFonts w:hint="cs"/>
          <w:b/>
          <w:bCs/>
          <w:rtl/>
        </w:rPr>
        <w:t>א'</w:t>
      </w:r>
      <w:r>
        <w:rPr>
          <w:b/>
          <w:bCs/>
          <w:rtl/>
        </w:rPr>
        <w:t xml:space="preserve"> אנו ממליצים כי על מר </w:t>
      </w:r>
      <w:r w:rsidR="00947A19">
        <w:rPr>
          <w:rFonts w:hint="cs"/>
          <w:b/>
          <w:bCs/>
          <w:rtl/>
        </w:rPr>
        <w:t>א'</w:t>
      </w:r>
      <w:r>
        <w:rPr>
          <w:b/>
          <w:bCs/>
          <w:rtl/>
        </w:rPr>
        <w:t xml:space="preserve"> להיות בפיקוח</w:t>
      </w:r>
      <w:r w:rsidR="005159F9">
        <w:rPr>
          <w:b/>
          <w:bCs/>
          <w:rtl/>
        </w:rPr>
        <w:t xml:space="preserve"> פסיכיא</w:t>
      </w:r>
      <w:r w:rsidR="00947A19">
        <w:rPr>
          <w:b/>
          <w:bCs/>
          <w:rtl/>
        </w:rPr>
        <w:t>טרי.</w:t>
      </w:r>
      <w:r w:rsidR="00947A19">
        <w:rPr>
          <w:rFonts w:hint="cs"/>
          <w:b/>
          <w:bCs/>
          <w:rtl/>
        </w:rPr>
        <w:t xml:space="preserve"> </w:t>
      </w:r>
      <w:r w:rsidR="00947A19">
        <w:rPr>
          <w:b/>
          <w:bCs/>
          <w:rtl/>
        </w:rPr>
        <w:t>עליו</w:t>
      </w:r>
      <w:r w:rsidR="00947A19">
        <w:rPr>
          <w:rFonts w:hint="cs"/>
          <w:b/>
          <w:bCs/>
          <w:rtl/>
        </w:rPr>
        <w:t xml:space="preserve"> </w:t>
      </w:r>
      <w:r w:rsidR="005159F9">
        <w:rPr>
          <w:b/>
          <w:bCs/>
          <w:rtl/>
        </w:rPr>
        <w:t xml:space="preserve">להמציא אישור </w:t>
      </w:r>
      <w:r w:rsidR="00947A19">
        <w:rPr>
          <w:b/>
          <w:bCs/>
          <w:rtl/>
        </w:rPr>
        <w:tab/>
      </w:r>
      <w:r w:rsidR="00947A19">
        <w:rPr>
          <w:b/>
          <w:bCs/>
          <w:rtl/>
        </w:rPr>
        <w:tab/>
      </w:r>
      <w:r w:rsidR="00947A19">
        <w:rPr>
          <w:b/>
          <w:bCs/>
          <w:rtl/>
        </w:rPr>
        <w:tab/>
      </w:r>
      <w:r>
        <w:rPr>
          <w:b/>
          <w:bCs/>
          <w:rtl/>
        </w:rPr>
        <w:t>מפסיכיאטר כי אינו מסוכן לעצמו ו/או לילדיו. עד אז ניתן י</w:t>
      </w:r>
      <w:r w:rsidR="005159F9">
        <w:rPr>
          <w:b/>
          <w:bCs/>
          <w:rtl/>
        </w:rPr>
        <w:t xml:space="preserve">היה לו לראות את ילדיו </w:t>
      </w:r>
      <w:r w:rsidR="00947A19">
        <w:rPr>
          <w:b/>
          <w:bCs/>
          <w:rtl/>
        </w:rPr>
        <w:tab/>
      </w:r>
      <w:r w:rsidR="00947A19">
        <w:rPr>
          <w:b/>
          <w:bCs/>
          <w:rtl/>
        </w:rPr>
        <w:tab/>
      </w:r>
      <w:r w:rsidR="00947A19">
        <w:rPr>
          <w:b/>
          <w:bCs/>
          <w:rtl/>
        </w:rPr>
        <w:tab/>
      </w:r>
      <w:r w:rsidR="005159F9">
        <w:rPr>
          <w:b/>
          <w:bCs/>
          <w:rtl/>
        </w:rPr>
        <w:t xml:space="preserve">בנוכחות </w:t>
      </w:r>
      <w:r>
        <w:rPr>
          <w:b/>
          <w:bCs/>
          <w:rtl/>
        </w:rPr>
        <w:t>צד ג'.</w:t>
      </w:r>
      <w:r w:rsidR="00947A19">
        <w:rPr>
          <w:rFonts w:hint="cs"/>
          <w:b/>
          <w:bCs/>
          <w:rtl/>
        </w:rPr>
        <w:t xml:space="preserve"> </w:t>
      </w:r>
    </w:p>
    <w:p w:rsidR="00301308" w:rsidRPr="00947A19" w:rsidRDefault="00947A19" w:rsidP="00947A19">
      <w:pPr>
        <w:spacing w:after="120" w:line="360" w:lineRule="auto"/>
        <w:jc w:val="both"/>
        <w:rPr>
          <w:b/>
          <w:bCs/>
          <w:rtl/>
        </w:rPr>
      </w:pPr>
      <w:r>
        <w:rPr>
          <w:b/>
          <w:bCs/>
          <w:rtl/>
        </w:rPr>
        <w:tab/>
      </w:r>
      <w:r>
        <w:rPr>
          <w:b/>
          <w:bCs/>
          <w:rtl/>
        </w:rPr>
        <w:tab/>
      </w:r>
      <w:r w:rsidR="00301308">
        <w:rPr>
          <w:b/>
          <w:bCs/>
          <w:rtl/>
        </w:rPr>
        <w:t>...</w:t>
      </w:r>
      <w:r w:rsidR="00301308">
        <w:rPr>
          <w:rtl/>
        </w:rPr>
        <w:t>"</w:t>
      </w:r>
    </w:p>
    <w:p w:rsidR="00301308" w:rsidRDefault="00301308" w:rsidP="00301308">
      <w:pPr>
        <w:spacing w:after="120" w:line="360" w:lineRule="auto"/>
        <w:jc w:val="both"/>
        <w:rPr>
          <w:rtl/>
        </w:rPr>
      </w:pPr>
      <w:r>
        <w:rPr>
          <w:rtl/>
        </w:rPr>
        <w:tab/>
        <w:t>ה.</w:t>
      </w:r>
      <w:r>
        <w:rPr>
          <w:rtl/>
        </w:rPr>
        <w:tab/>
        <w:t>על גבי עדכון זה ניתנה החלטת בית המשפט קמא ביום 16.4.23, כדלקמן:</w:t>
      </w:r>
    </w:p>
    <w:p w:rsidR="00570F7F" w:rsidRDefault="00570F7F" w:rsidP="00301308">
      <w:pPr>
        <w:spacing w:after="120" w:line="360" w:lineRule="auto"/>
        <w:jc w:val="both"/>
        <w:rPr>
          <w:rtl/>
        </w:rPr>
      </w:pPr>
    </w:p>
    <w:p w:rsidR="00301308" w:rsidRDefault="00301308" w:rsidP="00301308">
      <w:pPr>
        <w:spacing w:after="120" w:line="360" w:lineRule="auto"/>
        <w:rPr>
          <w:b/>
          <w:bCs/>
          <w:rtl/>
        </w:rPr>
      </w:pPr>
      <w:r>
        <w:rPr>
          <w:rtl/>
        </w:rPr>
        <w:lastRenderedPageBreak/>
        <w:tab/>
      </w:r>
      <w:r>
        <w:rPr>
          <w:rtl/>
        </w:rPr>
        <w:tab/>
        <w:t>"</w:t>
      </w:r>
      <w:r>
        <w:rPr>
          <w:b/>
          <w:bCs/>
          <w:rtl/>
        </w:rPr>
        <w:t>המזכירות תאפשר לצדדים לעיין במצורף.</w:t>
      </w:r>
    </w:p>
    <w:p w:rsidR="00301308" w:rsidRDefault="00301308" w:rsidP="00301308">
      <w:pPr>
        <w:spacing w:after="120" w:line="360" w:lineRule="auto"/>
        <w:rPr>
          <w:b/>
          <w:bCs/>
          <w:rtl/>
        </w:rPr>
      </w:pPr>
      <w:r>
        <w:rPr>
          <w:b/>
          <w:bCs/>
          <w:rtl/>
        </w:rPr>
        <w:tab/>
      </w:r>
      <w:r>
        <w:rPr>
          <w:b/>
          <w:bCs/>
          <w:rtl/>
        </w:rPr>
        <w:tab/>
        <w:t>כפי שנקבע - זמני השהות של האב עם הקטינים יהיו בפיקוח.</w:t>
      </w:r>
    </w:p>
    <w:p w:rsidR="00301308" w:rsidRDefault="00301308" w:rsidP="00301308">
      <w:pPr>
        <w:spacing w:after="120" w:line="360" w:lineRule="auto"/>
        <w:rPr>
          <w:rtl/>
        </w:rPr>
      </w:pPr>
      <w:r>
        <w:rPr>
          <w:b/>
          <w:bCs/>
          <w:rtl/>
        </w:rPr>
        <w:tab/>
      </w:r>
      <w:r>
        <w:rPr>
          <w:b/>
          <w:bCs/>
          <w:rtl/>
        </w:rPr>
        <w:tab/>
        <w:t>מוצע כי האב ימציא בהקדם אישור מפסיכיאטר, כפי הנדרש במכתב המצורף</w:t>
      </w:r>
      <w:r>
        <w:rPr>
          <w:rtl/>
        </w:rPr>
        <w:t>".</w:t>
      </w:r>
    </w:p>
    <w:p w:rsidR="00301308" w:rsidRDefault="00301308" w:rsidP="00301308">
      <w:pPr>
        <w:spacing w:after="120" w:line="360" w:lineRule="auto"/>
        <w:jc w:val="both"/>
        <w:rPr>
          <w:rtl/>
        </w:rPr>
      </w:pPr>
      <w:r>
        <w:rPr>
          <w:rtl/>
        </w:rPr>
        <w:t>22.</w:t>
      </w:r>
      <w:r>
        <w:rPr>
          <w:rtl/>
        </w:rPr>
        <w:tab/>
      </w:r>
      <w:r>
        <w:rPr>
          <w:u w:val="single"/>
          <w:rtl/>
        </w:rPr>
        <w:t>נוכח השתלשלות העניינים כאמור לעיל, ניתנה ביום 17.4.23 החלטתי בתיק, כדלקמן</w:t>
      </w:r>
      <w:r>
        <w:rPr>
          <w:rtl/>
        </w:rPr>
        <w:t>:</w:t>
      </w:r>
    </w:p>
    <w:p w:rsidR="00301308" w:rsidRDefault="00301308" w:rsidP="00301308">
      <w:pPr>
        <w:spacing w:after="120" w:line="360" w:lineRule="auto"/>
        <w:ind w:left="454" w:right="1020"/>
        <w:jc w:val="both"/>
        <w:rPr>
          <w:b/>
          <w:bCs/>
          <w:rtl/>
        </w:rPr>
      </w:pPr>
      <w:r>
        <w:rPr>
          <w:rtl/>
        </w:rPr>
        <w:tab/>
      </w:r>
      <w:r>
        <w:rPr>
          <w:b/>
          <w:bCs/>
          <w:rtl/>
        </w:rPr>
        <w:t>"מהמזכירות נמסר כי המבקשת טרם הפקידה את העירבון הדרוש בהל</w:t>
      </w:r>
      <w:r w:rsidR="005159F9">
        <w:rPr>
          <w:b/>
          <w:bCs/>
          <w:rtl/>
        </w:rPr>
        <w:t>יך</w:t>
      </w:r>
      <w:r w:rsidR="005159F9">
        <w:rPr>
          <w:b/>
          <w:bCs/>
          <w:rtl/>
        </w:rPr>
        <w:tab/>
      </w:r>
      <w:r>
        <w:rPr>
          <w:b/>
          <w:bCs/>
          <w:rtl/>
        </w:rPr>
        <w:t>דנן.</w:t>
      </w:r>
    </w:p>
    <w:p w:rsidR="00301308" w:rsidRDefault="00301308" w:rsidP="00570F7F">
      <w:pPr>
        <w:spacing w:after="120" w:line="360" w:lineRule="auto"/>
        <w:ind w:left="454" w:right="1020"/>
        <w:jc w:val="both"/>
        <w:rPr>
          <w:b/>
          <w:bCs/>
          <w:rtl/>
        </w:rPr>
      </w:pPr>
      <w:r>
        <w:rPr>
          <w:b/>
          <w:bCs/>
          <w:rtl/>
        </w:rPr>
        <w:tab/>
        <w:t>כמו כן ולאחר עיון בתיק קמא, תבהיר המבקשת א</w:t>
      </w:r>
      <w:r w:rsidR="00570F7F">
        <w:rPr>
          <w:b/>
          <w:bCs/>
          <w:rtl/>
        </w:rPr>
        <w:t>ם עומדת היא על בירור</w:t>
      </w:r>
      <w:r w:rsidR="00947A19">
        <w:rPr>
          <w:rFonts w:hint="cs"/>
          <w:b/>
          <w:bCs/>
          <w:rtl/>
        </w:rPr>
        <w:t xml:space="preserve"> </w:t>
      </w:r>
      <w:r w:rsidR="005159F9">
        <w:rPr>
          <w:b/>
          <w:bCs/>
          <w:rtl/>
        </w:rPr>
        <w:t xml:space="preserve">בקשת </w:t>
      </w:r>
      <w:r w:rsidR="00570F7F">
        <w:rPr>
          <w:b/>
          <w:bCs/>
          <w:rtl/>
        </w:rPr>
        <w:tab/>
      </w:r>
      <w:r w:rsidR="005159F9">
        <w:rPr>
          <w:b/>
          <w:bCs/>
          <w:rtl/>
        </w:rPr>
        <w:t xml:space="preserve">רשות </w:t>
      </w:r>
      <w:r>
        <w:rPr>
          <w:b/>
          <w:bCs/>
          <w:rtl/>
        </w:rPr>
        <w:t xml:space="preserve">הערעור דנן - זאת נוכח החלטותיו של בית משפט קמא מיום </w:t>
      </w:r>
      <w:r w:rsidR="005159F9">
        <w:rPr>
          <w:b/>
          <w:bCs/>
          <w:rtl/>
        </w:rPr>
        <w:t xml:space="preserve">13.4.23 לעניין זמני </w:t>
      </w:r>
      <w:r w:rsidR="00570F7F">
        <w:rPr>
          <w:b/>
          <w:bCs/>
          <w:rtl/>
        </w:rPr>
        <w:tab/>
      </w:r>
      <w:r w:rsidR="005159F9">
        <w:rPr>
          <w:b/>
          <w:bCs/>
          <w:rtl/>
        </w:rPr>
        <w:t xml:space="preserve">שהות </w:t>
      </w:r>
      <w:r>
        <w:rPr>
          <w:b/>
          <w:bCs/>
          <w:rtl/>
        </w:rPr>
        <w:t>הקטינים עם המשיב והיותם בפיקוח צד ג'.</w:t>
      </w:r>
    </w:p>
    <w:p w:rsidR="00301308" w:rsidRDefault="005159F9" w:rsidP="005159F9">
      <w:pPr>
        <w:spacing w:after="120" w:line="360" w:lineRule="auto"/>
        <w:ind w:left="454" w:right="1020"/>
        <w:jc w:val="both"/>
        <w:rPr>
          <w:b/>
          <w:bCs/>
          <w:rtl/>
        </w:rPr>
      </w:pPr>
      <w:r>
        <w:rPr>
          <w:b/>
          <w:bCs/>
          <w:rtl/>
        </w:rPr>
        <w:tab/>
      </w:r>
      <w:r w:rsidR="00301308">
        <w:rPr>
          <w:b/>
          <w:bCs/>
          <w:rtl/>
        </w:rPr>
        <w:t>יובהר כי ככל שהמבקשת עומדת על המשך בירור הרמ"ש, עליה להפ</w:t>
      </w:r>
      <w:r>
        <w:rPr>
          <w:b/>
          <w:bCs/>
          <w:rtl/>
        </w:rPr>
        <w:t xml:space="preserve">קיד העירבון </w:t>
      </w:r>
      <w:r w:rsidR="00570F7F">
        <w:rPr>
          <w:b/>
          <w:bCs/>
          <w:rtl/>
        </w:rPr>
        <w:tab/>
      </w:r>
      <w:r w:rsidR="00301308">
        <w:rPr>
          <w:b/>
          <w:bCs/>
          <w:rtl/>
        </w:rPr>
        <w:t>בהקדם ולא יאוחר מיום 20.4.23, ולהמציא אישור לתיק.</w:t>
      </w:r>
    </w:p>
    <w:p w:rsidR="00301308" w:rsidRDefault="00301308" w:rsidP="00301308">
      <w:pPr>
        <w:spacing w:after="120" w:line="360" w:lineRule="auto"/>
        <w:ind w:left="454" w:right="1020"/>
        <w:jc w:val="both"/>
        <w:rPr>
          <w:b/>
          <w:bCs/>
          <w:rtl/>
        </w:rPr>
      </w:pPr>
      <w:r>
        <w:rPr>
          <w:b/>
          <w:bCs/>
          <w:rtl/>
        </w:rPr>
        <w:tab/>
        <w:t xml:space="preserve">ככל שלא אקבל כל הודעה לתיק עד יום 20.4.23 והעירבון לא יופקד – אורה </w:t>
      </w:r>
      <w:r w:rsidR="005159F9">
        <w:rPr>
          <w:b/>
          <w:bCs/>
          <w:rtl/>
        </w:rPr>
        <w:tab/>
        <w:t xml:space="preserve">על מחיקת </w:t>
      </w:r>
      <w:r>
        <w:rPr>
          <w:b/>
          <w:bCs/>
          <w:rtl/>
        </w:rPr>
        <w:t>הרמ"ש מטעם זה.</w:t>
      </w:r>
    </w:p>
    <w:p w:rsidR="00301308" w:rsidRDefault="00301308" w:rsidP="00301308">
      <w:pPr>
        <w:spacing w:after="120" w:line="360" w:lineRule="auto"/>
        <w:ind w:left="454" w:right="1020"/>
        <w:jc w:val="both"/>
        <w:rPr>
          <w:b/>
          <w:bCs/>
          <w:rtl/>
        </w:rPr>
      </w:pPr>
      <w:r>
        <w:rPr>
          <w:b/>
          <w:bCs/>
          <w:rtl/>
        </w:rPr>
        <w:tab/>
        <w:t>תז' מעקב".</w:t>
      </w:r>
    </w:p>
    <w:p w:rsidR="00301308" w:rsidRDefault="00301308" w:rsidP="00570F7F">
      <w:pPr>
        <w:spacing w:after="120" w:line="360" w:lineRule="auto"/>
        <w:jc w:val="both"/>
        <w:rPr>
          <w:rtl/>
        </w:rPr>
      </w:pPr>
      <w:r>
        <w:rPr>
          <w:rtl/>
        </w:rPr>
        <w:t>23.</w:t>
      </w:r>
      <w:r>
        <w:rPr>
          <w:rtl/>
        </w:rPr>
        <w:tab/>
        <w:t>המבקשת הגיבה בו ביום (17.4.23) והגישה "</w:t>
      </w:r>
      <w:r>
        <w:rPr>
          <w:b/>
          <w:bCs/>
          <w:rtl/>
        </w:rPr>
        <w:t>הודעת הבהרה</w:t>
      </w:r>
      <w:r>
        <w:rPr>
          <w:rtl/>
        </w:rPr>
        <w:t xml:space="preserve">" לתיק דנן, במסגרתה הבהירה כי </w:t>
      </w:r>
      <w:r w:rsidR="00570F7F">
        <w:rPr>
          <w:rtl/>
        </w:rPr>
        <w:tab/>
      </w:r>
      <w:r>
        <w:rPr>
          <w:rtl/>
        </w:rPr>
        <w:t>עומד</w:t>
      </w:r>
      <w:r w:rsidR="005159F9">
        <w:rPr>
          <w:rtl/>
        </w:rPr>
        <w:t xml:space="preserve">ת </w:t>
      </w:r>
      <w:r>
        <w:rPr>
          <w:rtl/>
        </w:rPr>
        <w:t xml:space="preserve">על המשך בירור בקשת רשות הערעור, וכן </w:t>
      </w:r>
      <w:r w:rsidR="00570F7F">
        <w:rPr>
          <w:rtl/>
        </w:rPr>
        <w:t>פירטה את השתלשלות העניינים בתיק</w:t>
      </w:r>
      <w:r w:rsidR="00570F7F">
        <w:rPr>
          <w:rFonts w:hint="cs"/>
          <w:rtl/>
        </w:rPr>
        <w:t xml:space="preserve"> </w:t>
      </w:r>
      <w:r>
        <w:rPr>
          <w:rtl/>
        </w:rPr>
        <w:t xml:space="preserve">קמא, </w:t>
      </w:r>
      <w:r w:rsidR="00570F7F">
        <w:rPr>
          <w:rtl/>
        </w:rPr>
        <w:tab/>
      </w:r>
      <w:r>
        <w:rPr>
          <w:rtl/>
        </w:rPr>
        <w:t>כמפורט לעיל.</w:t>
      </w:r>
    </w:p>
    <w:p w:rsidR="00301308" w:rsidRDefault="00301308" w:rsidP="00947A19">
      <w:pPr>
        <w:spacing w:after="120" w:line="360" w:lineRule="auto"/>
        <w:jc w:val="both"/>
        <w:rPr>
          <w:rtl/>
        </w:rPr>
      </w:pPr>
      <w:r>
        <w:rPr>
          <w:rtl/>
        </w:rPr>
        <w:t>24.</w:t>
      </w:r>
      <w:r>
        <w:rPr>
          <w:rtl/>
        </w:rPr>
        <w:tab/>
        <w:t>ביום 19.4.23 הגישה המבקשת לתיק דנן "</w:t>
      </w:r>
      <w:r>
        <w:rPr>
          <w:b/>
          <w:bCs/>
          <w:rtl/>
        </w:rPr>
        <w:t>בקשה לסעד זמני דחו</w:t>
      </w:r>
      <w:r w:rsidR="005159F9">
        <w:rPr>
          <w:b/>
          <w:bCs/>
          <w:rtl/>
        </w:rPr>
        <w:t xml:space="preserve">ף – זמני שהות במרכז קשר בפיקוח </w:t>
      </w:r>
      <w:r w:rsidR="00570F7F">
        <w:rPr>
          <w:b/>
          <w:bCs/>
          <w:rtl/>
        </w:rPr>
        <w:tab/>
      </w:r>
      <w:r>
        <w:rPr>
          <w:b/>
          <w:bCs/>
          <w:rtl/>
        </w:rPr>
        <w:t>עו"ס</w:t>
      </w:r>
      <w:r>
        <w:rPr>
          <w:rtl/>
        </w:rPr>
        <w:t>". במסגרת הבקשה, התבקש בית המשפט ליתן סעד זמני דחוף ולאמץ</w:t>
      </w:r>
      <w:r w:rsidR="00947A19">
        <w:rPr>
          <w:rFonts w:hint="cs"/>
          <w:rtl/>
        </w:rPr>
        <w:t xml:space="preserve"> </w:t>
      </w:r>
      <w:r>
        <w:rPr>
          <w:rtl/>
        </w:rPr>
        <w:t>את המלצות התסקי</w:t>
      </w:r>
      <w:r w:rsidR="005159F9">
        <w:rPr>
          <w:rtl/>
        </w:rPr>
        <w:t xml:space="preserve">ר, </w:t>
      </w:r>
      <w:r w:rsidR="00570F7F">
        <w:rPr>
          <w:rtl/>
        </w:rPr>
        <w:tab/>
      </w:r>
      <w:r>
        <w:rPr>
          <w:rtl/>
        </w:rPr>
        <w:t>כך שיורה כי זמני השהות של הקטינים עם המשיב יתקיימו במרכ</w:t>
      </w:r>
      <w:r w:rsidR="005159F9">
        <w:rPr>
          <w:rtl/>
        </w:rPr>
        <w:t xml:space="preserve">ז קשר בלבד, ולהיעתר לסעד זה </w:t>
      </w:r>
      <w:r w:rsidR="00570F7F">
        <w:rPr>
          <w:rtl/>
        </w:rPr>
        <w:tab/>
      </w:r>
      <w:r w:rsidR="005159F9">
        <w:rPr>
          <w:rtl/>
        </w:rPr>
        <w:t xml:space="preserve">גם </w:t>
      </w:r>
      <w:r>
        <w:rPr>
          <w:rtl/>
        </w:rPr>
        <w:t>כסעד ארעי, עד למתן תגובת המשיב. נימוקי המבקשת בבקשתה היו</w:t>
      </w:r>
      <w:r w:rsidR="005159F9">
        <w:rPr>
          <w:rtl/>
        </w:rPr>
        <w:t xml:space="preserve"> דומים – אם לא זהים – </w:t>
      </w:r>
      <w:r w:rsidR="00570F7F">
        <w:rPr>
          <w:rtl/>
        </w:rPr>
        <w:tab/>
      </w:r>
      <w:r w:rsidR="005159F9">
        <w:rPr>
          <w:rtl/>
        </w:rPr>
        <w:t xml:space="preserve">לנימוקיה </w:t>
      </w:r>
      <w:r>
        <w:rPr>
          <w:rtl/>
        </w:rPr>
        <w:t>בבקשת רשות הערעור, אשר פורטו בסעיף 19 לעיל.</w:t>
      </w:r>
    </w:p>
    <w:p w:rsidR="00301308" w:rsidRDefault="00301308" w:rsidP="007706C0">
      <w:pPr>
        <w:spacing w:after="120" w:line="360" w:lineRule="auto"/>
        <w:jc w:val="both"/>
        <w:rPr>
          <w:rtl/>
        </w:rPr>
      </w:pPr>
      <w:r>
        <w:rPr>
          <w:rtl/>
        </w:rPr>
        <w:t>25.</w:t>
      </w:r>
      <w:r>
        <w:rPr>
          <w:rtl/>
        </w:rPr>
        <w:tab/>
      </w:r>
      <w:r>
        <w:rPr>
          <w:u w:val="single"/>
          <w:rtl/>
        </w:rPr>
        <w:t>בהחלטתי מאותו יום (19.4.23) דחיתי את הבקשה לסעד זמני דחוף, כדלקמן</w:t>
      </w:r>
      <w:r>
        <w:rPr>
          <w:rtl/>
        </w:rPr>
        <w:t>:</w:t>
      </w:r>
    </w:p>
    <w:p w:rsidR="00301308" w:rsidRDefault="00301308" w:rsidP="007706C0">
      <w:pPr>
        <w:spacing w:after="120" w:line="360" w:lineRule="auto"/>
        <w:ind w:left="454" w:right="1020"/>
        <w:jc w:val="both"/>
        <w:rPr>
          <w:b/>
          <w:bCs/>
          <w:rtl/>
        </w:rPr>
      </w:pPr>
      <w:r>
        <w:rPr>
          <w:rtl/>
        </w:rPr>
        <w:tab/>
        <w:t>"</w:t>
      </w:r>
      <w:r>
        <w:rPr>
          <w:b/>
          <w:bCs/>
          <w:rtl/>
        </w:rPr>
        <w:t>לאחר עיון בבקשה דנן ובתיק קמא, סבורני כי אי</w:t>
      </w:r>
      <w:r w:rsidR="005159F9">
        <w:rPr>
          <w:b/>
          <w:bCs/>
          <w:rtl/>
        </w:rPr>
        <w:t xml:space="preserve">ן מקום ליתן סעד זמני במקרה זה, </w:t>
      </w:r>
      <w:r w:rsidR="00570F7F">
        <w:rPr>
          <w:b/>
          <w:bCs/>
          <w:rtl/>
        </w:rPr>
        <w:tab/>
      </w:r>
      <w:r>
        <w:rPr>
          <w:b/>
          <w:bCs/>
          <w:rtl/>
        </w:rPr>
        <w:t>וממילא לא סעד ארעי, הזהה לסעד העיקרי המבוקש</w:t>
      </w:r>
      <w:r w:rsidR="005159F9">
        <w:rPr>
          <w:b/>
          <w:bCs/>
          <w:rtl/>
        </w:rPr>
        <w:t xml:space="preserve"> בבקשת </w:t>
      </w:r>
      <w:r w:rsidR="00570F7F">
        <w:rPr>
          <w:b/>
          <w:bCs/>
          <w:rtl/>
        </w:rPr>
        <w:t>רשות</w:t>
      </w:r>
      <w:r w:rsidR="00570F7F">
        <w:rPr>
          <w:rFonts w:hint="cs"/>
          <w:b/>
          <w:bCs/>
          <w:rtl/>
        </w:rPr>
        <w:t xml:space="preserve"> </w:t>
      </w:r>
      <w:r w:rsidR="005159F9">
        <w:rPr>
          <w:b/>
          <w:bCs/>
          <w:rtl/>
        </w:rPr>
        <w:t xml:space="preserve">הערעור דנן; </w:t>
      </w:r>
      <w:r w:rsidR="00570F7F">
        <w:rPr>
          <w:b/>
          <w:bCs/>
          <w:rtl/>
        </w:rPr>
        <w:tab/>
      </w:r>
      <w:r w:rsidR="005159F9">
        <w:rPr>
          <w:b/>
          <w:bCs/>
          <w:rtl/>
        </w:rPr>
        <w:t xml:space="preserve">במיוחד </w:t>
      </w:r>
      <w:r>
        <w:rPr>
          <w:b/>
          <w:bCs/>
          <w:rtl/>
        </w:rPr>
        <w:t xml:space="preserve">כשבקשה לעיכוב ביצוע ההחלטה קמא, נושא רמ"ש זה, נדחתה על ידי כב' </w:t>
      </w:r>
      <w:r w:rsidR="00570F7F">
        <w:rPr>
          <w:b/>
          <w:bCs/>
          <w:rtl/>
        </w:rPr>
        <w:tab/>
      </w:r>
      <w:r>
        <w:rPr>
          <w:b/>
          <w:bCs/>
          <w:rtl/>
        </w:rPr>
        <w:t>השו</w:t>
      </w:r>
      <w:r w:rsidR="005159F9">
        <w:rPr>
          <w:b/>
          <w:bCs/>
          <w:rtl/>
        </w:rPr>
        <w:t xml:space="preserve">פט </w:t>
      </w:r>
      <w:r>
        <w:rPr>
          <w:b/>
          <w:bCs/>
          <w:rtl/>
        </w:rPr>
        <w:t>הבכיר יצחק כהן בהחלטתו מיום</w:t>
      </w:r>
      <w:r w:rsidR="00570F7F">
        <w:rPr>
          <w:rFonts w:hint="cs"/>
          <w:b/>
          <w:bCs/>
          <w:rtl/>
        </w:rPr>
        <w:t xml:space="preserve"> </w:t>
      </w:r>
      <w:r>
        <w:rPr>
          <w:b/>
          <w:bCs/>
          <w:rtl/>
        </w:rPr>
        <w:t>5.4.23.</w:t>
      </w:r>
    </w:p>
    <w:p w:rsidR="00301308" w:rsidRDefault="00301308" w:rsidP="007706C0">
      <w:pPr>
        <w:spacing w:after="120" w:line="360" w:lineRule="auto"/>
        <w:ind w:left="454" w:right="1020"/>
        <w:jc w:val="both"/>
        <w:rPr>
          <w:rtl/>
        </w:rPr>
      </w:pPr>
      <w:r>
        <w:rPr>
          <w:b/>
          <w:bCs/>
          <w:rtl/>
        </w:rPr>
        <w:tab/>
        <w:t xml:space="preserve">יוזכר כי בכל מקרה המשיב צריך להגיב עד יום 2.5.23, והכרעה ברמ"ש זה </w:t>
      </w:r>
      <w:r w:rsidR="005159F9">
        <w:rPr>
          <w:b/>
          <w:bCs/>
          <w:rtl/>
        </w:rPr>
        <w:tab/>
        <w:t xml:space="preserve">תינתן </w:t>
      </w:r>
      <w:r w:rsidR="00570F7F">
        <w:rPr>
          <w:b/>
          <w:bCs/>
          <w:rtl/>
        </w:rPr>
        <w:tab/>
      </w:r>
      <w:r w:rsidR="005159F9">
        <w:rPr>
          <w:b/>
          <w:bCs/>
          <w:rtl/>
        </w:rPr>
        <w:t xml:space="preserve">תוך </w:t>
      </w:r>
      <w:r>
        <w:rPr>
          <w:b/>
          <w:bCs/>
          <w:rtl/>
        </w:rPr>
        <w:t>זמן קצר לאחר מכן. על אף זאת אצפה לר</w:t>
      </w:r>
      <w:r w:rsidR="005159F9">
        <w:rPr>
          <w:b/>
          <w:bCs/>
          <w:rtl/>
        </w:rPr>
        <w:t xml:space="preserve">אות בתשובת האב/המשיב לרמ"ש זה, </w:t>
      </w:r>
      <w:r w:rsidR="00570F7F">
        <w:rPr>
          <w:b/>
          <w:bCs/>
          <w:rtl/>
        </w:rPr>
        <w:tab/>
      </w:r>
      <w:r>
        <w:rPr>
          <w:b/>
          <w:bCs/>
          <w:rtl/>
        </w:rPr>
        <w:t xml:space="preserve">התייחסות גם לטענות הנטענות בבקשה הנדונה (שחלקן לא פורטו במסגרת </w:t>
      </w:r>
      <w:r w:rsidR="00570F7F">
        <w:rPr>
          <w:b/>
          <w:bCs/>
          <w:rtl/>
        </w:rPr>
        <w:tab/>
      </w:r>
      <w:r>
        <w:rPr>
          <w:b/>
          <w:bCs/>
          <w:rtl/>
        </w:rPr>
        <w:t>הרמ"ש)</w:t>
      </w:r>
      <w:r>
        <w:rPr>
          <w:rtl/>
        </w:rPr>
        <w:t>".</w:t>
      </w:r>
    </w:p>
    <w:p w:rsidR="00301308" w:rsidRDefault="00301308" w:rsidP="00301308">
      <w:pPr>
        <w:autoSpaceDE w:val="0"/>
        <w:autoSpaceDN w:val="0"/>
        <w:adjustRightInd w:val="0"/>
        <w:spacing w:after="120" w:line="360" w:lineRule="auto"/>
        <w:jc w:val="both"/>
        <w:rPr>
          <w:rFonts w:ascii="David" w:eastAsiaTheme="minorHAnsi" w:hAnsi="David"/>
          <w:b/>
          <w:bCs/>
          <w:noProof w:val="0"/>
          <w:u w:val="single"/>
          <w:rtl/>
        </w:rPr>
      </w:pPr>
      <w:r>
        <w:rPr>
          <w:rFonts w:ascii="David" w:eastAsiaTheme="minorHAnsi" w:hAnsi="David"/>
          <w:b/>
          <w:bCs/>
          <w:noProof w:val="0"/>
          <w:u w:val="single"/>
          <w:rtl/>
        </w:rPr>
        <w:lastRenderedPageBreak/>
        <w:t>תשובת המשיב לבקשת רשות הערעור</w:t>
      </w:r>
    </w:p>
    <w:p w:rsidR="00301308" w:rsidRDefault="00301308" w:rsidP="00301308">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26.</w:t>
      </w:r>
      <w:r>
        <w:rPr>
          <w:rFonts w:ascii="David" w:eastAsiaTheme="minorHAnsi" w:hAnsi="David"/>
          <w:noProof w:val="0"/>
          <w:rtl/>
        </w:rPr>
        <w:tab/>
      </w:r>
      <w:r>
        <w:rPr>
          <w:rFonts w:ascii="David" w:eastAsiaTheme="minorHAnsi" w:hAnsi="David"/>
          <w:noProof w:val="0"/>
          <w:u w:val="single"/>
          <w:rtl/>
        </w:rPr>
        <w:t>ביקשתי, וקיבלתי, את תשובת המשיב לבקשת רשות הערעור. להלן תמציתה</w:t>
      </w:r>
      <w:r>
        <w:rPr>
          <w:rFonts w:ascii="David" w:eastAsiaTheme="minorHAnsi" w:hAnsi="David"/>
          <w:noProof w:val="0"/>
          <w:rtl/>
        </w:rPr>
        <w:t>:</w:t>
      </w:r>
    </w:p>
    <w:p w:rsidR="00301308" w:rsidRDefault="00301308" w:rsidP="00570F7F">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א.</w:t>
      </w:r>
      <w:r>
        <w:rPr>
          <w:rFonts w:ascii="David" w:eastAsiaTheme="minorHAnsi" w:hAnsi="David"/>
          <w:noProof w:val="0"/>
          <w:rtl/>
        </w:rPr>
        <w:tab/>
        <w:t>ההחלטה קמא קוימה זה מכבר, לאחר שהבקשה לעיכוב</w:t>
      </w:r>
      <w:r w:rsidR="005159F9">
        <w:rPr>
          <w:rFonts w:ascii="David" w:eastAsiaTheme="minorHAnsi" w:hAnsi="David"/>
          <w:noProof w:val="0"/>
          <w:rtl/>
        </w:rPr>
        <w:t xml:space="preserve"> ביצוע שהגישה המבקשת נדחתה </w:t>
      </w:r>
      <w:r w:rsidR="00570F7F">
        <w:rPr>
          <w:rFonts w:ascii="David" w:eastAsiaTheme="minorHAnsi" w:hAnsi="David"/>
          <w:noProof w:val="0"/>
          <w:rtl/>
        </w:rPr>
        <w:tab/>
      </w:r>
      <w:r w:rsidR="00570F7F">
        <w:rPr>
          <w:rFonts w:ascii="David" w:eastAsiaTheme="minorHAnsi" w:hAnsi="David"/>
          <w:noProof w:val="0"/>
          <w:rtl/>
        </w:rPr>
        <w:tab/>
      </w:r>
      <w:r w:rsidR="005159F9">
        <w:rPr>
          <w:rFonts w:ascii="David" w:eastAsiaTheme="minorHAnsi" w:hAnsi="David"/>
          <w:noProof w:val="0"/>
          <w:rtl/>
        </w:rPr>
        <w:t xml:space="preserve">אף </w:t>
      </w:r>
      <w:r>
        <w:rPr>
          <w:rFonts w:ascii="David" w:eastAsiaTheme="minorHAnsi" w:hAnsi="David"/>
          <w:noProof w:val="0"/>
          <w:rtl/>
        </w:rPr>
        <w:t>ללא צורך בתגובה, בהחלטת בית</w:t>
      </w:r>
      <w:r w:rsidR="00570F7F">
        <w:rPr>
          <w:rFonts w:ascii="David" w:eastAsiaTheme="minorHAnsi" w:hAnsi="David"/>
          <w:noProof w:val="0"/>
          <w:rtl/>
        </w:rPr>
        <w:t xml:space="preserve"> המשפט מיום 5.4.23, וזמני השהות</w:t>
      </w:r>
      <w:r w:rsidR="00570F7F">
        <w:rPr>
          <w:rFonts w:ascii="David" w:eastAsiaTheme="minorHAnsi" w:hAnsi="David" w:hint="cs"/>
          <w:noProof w:val="0"/>
          <w:rtl/>
        </w:rPr>
        <w:t xml:space="preserve"> </w:t>
      </w:r>
      <w:r>
        <w:rPr>
          <w:rFonts w:ascii="David" w:eastAsiaTheme="minorHAnsi" w:hAnsi="David"/>
          <w:noProof w:val="0"/>
          <w:rtl/>
        </w:rPr>
        <w:t xml:space="preserve">בחג הפסח </w:t>
      </w:r>
      <w:r w:rsidR="00570F7F">
        <w:rPr>
          <w:rFonts w:ascii="David" w:eastAsiaTheme="minorHAnsi" w:hAnsi="David"/>
          <w:noProof w:val="0"/>
          <w:rtl/>
        </w:rPr>
        <w:tab/>
      </w:r>
      <w:r w:rsidR="00570F7F">
        <w:rPr>
          <w:rFonts w:ascii="David" w:eastAsiaTheme="minorHAnsi" w:hAnsi="David"/>
          <w:noProof w:val="0"/>
          <w:rtl/>
        </w:rPr>
        <w:tab/>
      </w:r>
      <w:r w:rsidR="00570F7F">
        <w:rPr>
          <w:rFonts w:ascii="David" w:eastAsiaTheme="minorHAnsi" w:hAnsi="David"/>
          <w:noProof w:val="0"/>
          <w:rtl/>
        </w:rPr>
        <w:tab/>
        <w:t>התקיימו</w:t>
      </w:r>
      <w:r w:rsidR="00570F7F">
        <w:rPr>
          <w:rFonts w:ascii="David" w:eastAsiaTheme="minorHAnsi" w:hAnsi="David" w:hint="cs"/>
          <w:noProof w:val="0"/>
          <w:rtl/>
        </w:rPr>
        <w:t xml:space="preserve"> </w:t>
      </w:r>
      <w:r w:rsidR="00570F7F">
        <w:rPr>
          <w:rFonts w:ascii="David" w:eastAsiaTheme="minorHAnsi" w:hAnsi="David"/>
          <w:noProof w:val="0"/>
          <w:rtl/>
        </w:rPr>
        <w:t>בהצלחה</w:t>
      </w:r>
      <w:r w:rsidR="00570F7F">
        <w:rPr>
          <w:rFonts w:ascii="David" w:eastAsiaTheme="minorHAnsi" w:hAnsi="David" w:hint="cs"/>
          <w:noProof w:val="0"/>
          <w:rtl/>
        </w:rPr>
        <w:t xml:space="preserve"> </w:t>
      </w:r>
      <w:r>
        <w:rPr>
          <w:rFonts w:ascii="David" w:eastAsiaTheme="minorHAnsi" w:hAnsi="David"/>
          <w:noProof w:val="0"/>
          <w:rtl/>
        </w:rPr>
        <w:t>ובהנאה רבה הן עבור הקטינים והן עבור המשיב.</w:t>
      </w:r>
    </w:p>
    <w:p w:rsidR="00301308" w:rsidRDefault="00301308" w:rsidP="005159F9">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ב.</w:t>
      </w:r>
      <w:r>
        <w:rPr>
          <w:rFonts w:ascii="David" w:eastAsiaTheme="minorHAnsi" w:hAnsi="David"/>
          <w:noProof w:val="0"/>
          <w:rtl/>
        </w:rPr>
        <w:tab/>
        <w:t>נהיר כי בירור בקשת רשות הערעור דנן מתייתר אולם</w:t>
      </w:r>
      <w:r w:rsidR="005159F9">
        <w:rPr>
          <w:rFonts w:ascii="David" w:eastAsiaTheme="minorHAnsi" w:hAnsi="David"/>
          <w:noProof w:val="0"/>
          <w:rtl/>
        </w:rPr>
        <w:t xml:space="preserve"> המבקשת עומדת</w:t>
      </w:r>
      <w:r w:rsidR="005159F9">
        <w:rPr>
          <w:rFonts w:ascii="David" w:eastAsiaTheme="minorHAnsi" w:hAnsi="David" w:hint="cs"/>
          <w:noProof w:val="0"/>
          <w:rtl/>
        </w:rPr>
        <w:t xml:space="preserve"> </w:t>
      </w:r>
      <w:r w:rsidR="005159F9">
        <w:rPr>
          <w:rFonts w:ascii="David" w:eastAsiaTheme="minorHAnsi" w:hAnsi="David"/>
          <w:noProof w:val="0"/>
          <w:rtl/>
        </w:rPr>
        <w:t>על</w:t>
      </w:r>
      <w:r w:rsidR="005159F9">
        <w:rPr>
          <w:rFonts w:ascii="David" w:eastAsiaTheme="minorHAnsi" w:hAnsi="David" w:hint="cs"/>
          <w:noProof w:val="0"/>
          <w:rtl/>
        </w:rPr>
        <w:t xml:space="preserve"> </w:t>
      </w:r>
      <w:r w:rsidR="005159F9">
        <w:rPr>
          <w:rFonts w:ascii="David" w:eastAsiaTheme="minorHAnsi" w:hAnsi="David"/>
          <w:noProof w:val="0"/>
          <w:rtl/>
        </w:rPr>
        <w:t xml:space="preserve">בקשתה, למרות </w:t>
      </w:r>
      <w:r w:rsidR="00570F7F">
        <w:rPr>
          <w:rFonts w:ascii="David" w:eastAsiaTheme="minorHAnsi" w:hAnsi="David"/>
          <w:noProof w:val="0"/>
          <w:rtl/>
        </w:rPr>
        <w:tab/>
      </w:r>
      <w:r w:rsidR="00570F7F">
        <w:rPr>
          <w:rFonts w:ascii="David" w:eastAsiaTheme="minorHAnsi" w:hAnsi="David"/>
          <w:noProof w:val="0"/>
          <w:rtl/>
        </w:rPr>
        <w:tab/>
      </w:r>
      <w:r>
        <w:rPr>
          <w:rFonts w:ascii="David" w:eastAsiaTheme="minorHAnsi" w:hAnsi="David"/>
          <w:noProof w:val="0"/>
          <w:rtl/>
        </w:rPr>
        <w:t>המלצת בית המשפט למחיקת ההליך.</w:t>
      </w:r>
    </w:p>
    <w:p w:rsidR="00301308" w:rsidRDefault="00301308" w:rsidP="00570F7F">
      <w:pPr>
        <w:autoSpaceDE w:val="0"/>
        <w:autoSpaceDN w:val="0"/>
        <w:adjustRightInd w:val="0"/>
        <w:spacing w:after="120" w:line="360" w:lineRule="auto"/>
        <w:ind w:left="709"/>
        <w:jc w:val="both"/>
        <w:rPr>
          <w:rFonts w:ascii="David" w:eastAsiaTheme="minorHAnsi" w:hAnsi="David"/>
          <w:noProof w:val="0"/>
          <w:rtl/>
        </w:rPr>
      </w:pPr>
      <w:r>
        <w:rPr>
          <w:rFonts w:ascii="David" w:eastAsiaTheme="minorHAnsi" w:hAnsi="David"/>
          <w:noProof w:val="0"/>
          <w:rtl/>
        </w:rPr>
        <w:tab/>
        <w:t>ג.</w:t>
      </w:r>
      <w:r>
        <w:rPr>
          <w:rFonts w:ascii="David" w:eastAsiaTheme="minorHAnsi" w:hAnsi="David"/>
          <w:noProof w:val="0"/>
          <w:rtl/>
        </w:rPr>
        <w:tab/>
        <w:t>המבקשת יצאה עם הקטינים מביתם ונכנסה למקלט</w:t>
      </w:r>
      <w:r w:rsidR="00570F7F">
        <w:rPr>
          <w:rFonts w:ascii="David" w:eastAsiaTheme="minorHAnsi" w:hAnsi="David"/>
          <w:noProof w:val="0"/>
          <w:rtl/>
        </w:rPr>
        <w:t xml:space="preserve"> לכאורה בתואנה של סכנ</w:t>
      </w:r>
      <w:r w:rsidR="00570F7F">
        <w:rPr>
          <w:rFonts w:ascii="David" w:eastAsiaTheme="minorHAnsi" w:hAnsi="David" w:hint="cs"/>
          <w:noProof w:val="0"/>
          <w:rtl/>
        </w:rPr>
        <w:t>ה</w:t>
      </w:r>
      <w:r w:rsidR="00570F7F">
        <w:rPr>
          <w:rFonts w:ascii="David" w:eastAsiaTheme="minorHAnsi" w:hAnsi="David"/>
          <w:noProof w:val="0"/>
          <w:rtl/>
        </w:rPr>
        <w:tab/>
      </w:r>
      <w:r w:rsidR="00570F7F">
        <w:rPr>
          <w:rFonts w:ascii="David" w:eastAsiaTheme="minorHAnsi" w:hAnsi="David"/>
          <w:noProof w:val="0"/>
          <w:rtl/>
        </w:rPr>
        <w:tab/>
      </w:r>
      <w:r w:rsidR="005159F9">
        <w:rPr>
          <w:rFonts w:ascii="David" w:eastAsiaTheme="minorHAnsi" w:hAnsi="David"/>
          <w:noProof w:val="0"/>
          <w:rtl/>
        </w:rPr>
        <w:tab/>
        <w:t xml:space="preserve">שנשקפה </w:t>
      </w:r>
      <w:r>
        <w:rPr>
          <w:rFonts w:ascii="David" w:eastAsiaTheme="minorHAnsi" w:hAnsi="David"/>
          <w:noProof w:val="0"/>
          <w:rtl/>
        </w:rPr>
        <w:t xml:space="preserve">לקטינים מצד אביהם, דבר שלא היה ולא נברא מעולם. </w:t>
      </w:r>
      <w:r w:rsidR="005159F9">
        <w:rPr>
          <w:rFonts w:ascii="David" w:eastAsiaTheme="minorHAnsi" w:hAnsi="David"/>
          <w:noProof w:val="0"/>
          <w:rtl/>
        </w:rPr>
        <w:t xml:space="preserve">המבקשת ניסתה להשיג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בכל דרך על </w:t>
      </w:r>
      <w:r>
        <w:rPr>
          <w:rFonts w:ascii="David" w:eastAsiaTheme="minorHAnsi" w:hAnsi="David"/>
          <w:noProof w:val="0"/>
          <w:rtl/>
        </w:rPr>
        <w:t>החלטות בית משפט קמא, ומשלא השיגה את מב</w:t>
      </w:r>
      <w:r w:rsidR="005159F9">
        <w:rPr>
          <w:rFonts w:ascii="David" w:eastAsiaTheme="minorHAnsi" w:hAnsi="David"/>
          <w:noProof w:val="0"/>
          <w:rtl/>
        </w:rPr>
        <w:t xml:space="preserve">וקשה בהכשלת הקשר בין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הקטינים </w:t>
      </w:r>
      <w:r>
        <w:rPr>
          <w:rFonts w:ascii="David" w:eastAsiaTheme="minorHAnsi" w:hAnsi="David"/>
          <w:noProof w:val="0"/>
          <w:rtl/>
        </w:rPr>
        <w:t xml:space="preserve">לאביהם, יצאה מהמקלט ושבה להתגורר בבית המגורים. </w:t>
      </w:r>
    </w:p>
    <w:p w:rsidR="00301308" w:rsidRDefault="00301308" w:rsidP="00812032">
      <w:pPr>
        <w:autoSpaceDE w:val="0"/>
        <w:autoSpaceDN w:val="0"/>
        <w:adjustRightInd w:val="0"/>
        <w:spacing w:after="120" w:line="360" w:lineRule="auto"/>
        <w:ind w:left="709"/>
        <w:jc w:val="both"/>
        <w:rPr>
          <w:rFonts w:ascii="David" w:eastAsiaTheme="minorHAnsi" w:hAnsi="David"/>
          <w:noProof w:val="0"/>
          <w:rtl/>
        </w:rPr>
      </w:pPr>
      <w:r>
        <w:rPr>
          <w:rFonts w:ascii="David" w:eastAsiaTheme="minorHAnsi" w:hAnsi="David"/>
          <w:noProof w:val="0"/>
          <w:rtl/>
        </w:rPr>
        <w:t>ד.</w:t>
      </w:r>
      <w:r>
        <w:rPr>
          <w:rFonts w:ascii="David" w:eastAsiaTheme="minorHAnsi" w:hAnsi="David"/>
          <w:noProof w:val="0"/>
          <w:rtl/>
        </w:rPr>
        <w:tab/>
        <w:t xml:space="preserve">זמני השהות בין הקטינים לאביהם מתקיימים </w:t>
      </w:r>
      <w:r w:rsidR="00812032">
        <w:rPr>
          <w:rFonts w:ascii="David" w:eastAsiaTheme="minorHAnsi" w:hAnsi="David"/>
          <w:noProof w:val="0"/>
          <w:rtl/>
        </w:rPr>
        <w:t>בהצלחה משך למעלה מעשר</w:t>
      </w:r>
      <w:r w:rsidR="00812032">
        <w:rPr>
          <w:rFonts w:ascii="David" w:eastAsiaTheme="minorHAnsi" w:hAnsi="David" w:hint="cs"/>
          <w:noProof w:val="0"/>
          <w:rtl/>
        </w:rPr>
        <w:t>ה</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ab/>
        <w:t xml:space="preserve">חודשים, </w:t>
      </w:r>
      <w:r>
        <w:rPr>
          <w:rFonts w:ascii="David" w:eastAsiaTheme="minorHAnsi" w:hAnsi="David"/>
          <w:noProof w:val="0"/>
          <w:rtl/>
        </w:rPr>
        <w:t>הקטינים רוצים לשהות במחיצת אביהם, אוהבים אותו</w:t>
      </w:r>
      <w:r w:rsidR="005159F9">
        <w:rPr>
          <w:rFonts w:ascii="David" w:eastAsiaTheme="minorHAnsi" w:hAnsi="David"/>
          <w:noProof w:val="0"/>
          <w:rtl/>
        </w:rPr>
        <w:t xml:space="preserve"> ונהנים איתו, ומעולם לא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נשקפה </w:t>
      </w:r>
      <w:r>
        <w:rPr>
          <w:rFonts w:ascii="David" w:eastAsiaTheme="minorHAnsi" w:hAnsi="David"/>
          <w:noProof w:val="0"/>
          <w:rtl/>
        </w:rPr>
        <w:t xml:space="preserve">להם כל סכנה ולא אירע להם כל מאום על ידו. מפגשים אלה מהווים את טובת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הקטינים.</w:t>
      </w:r>
    </w:p>
    <w:p w:rsidR="00301308" w:rsidRDefault="00301308" w:rsidP="00812032">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ה.</w:t>
      </w:r>
      <w:r>
        <w:rPr>
          <w:rFonts w:ascii="David" w:eastAsiaTheme="minorHAnsi" w:hAnsi="David"/>
          <w:noProof w:val="0"/>
          <w:rtl/>
        </w:rPr>
        <w:tab/>
        <w:t>המשיב פנה לפסיכיאטר, ד"ר דינסטג אריה יעקב, אצלו</w:t>
      </w:r>
      <w:r w:rsidR="005159F9">
        <w:rPr>
          <w:rFonts w:ascii="David" w:eastAsiaTheme="minorHAnsi" w:hAnsi="David"/>
          <w:noProof w:val="0"/>
          <w:rtl/>
        </w:rPr>
        <w:t xml:space="preserve"> ביקר מספר פעמים בעבר, והציג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סיכום שמבהיר באופן ברור וחד משמעי כי ואין ולא נשקפ</w:t>
      </w:r>
      <w:r w:rsidR="005159F9">
        <w:rPr>
          <w:rFonts w:ascii="David" w:eastAsiaTheme="minorHAnsi" w:hAnsi="David"/>
          <w:noProof w:val="0"/>
          <w:rtl/>
        </w:rPr>
        <w:t>ת כל סכנה לקטינים מידי אביהם,</w:t>
      </w:r>
      <w:r w:rsidR="005159F9">
        <w:rPr>
          <w:rFonts w:ascii="David" w:eastAsiaTheme="minorHAnsi" w:hAnsi="David" w:hint="cs"/>
          <w:noProof w:val="0"/>
          <w:rtl/>
        </w:rPr>
        <w:t xml:space="preserve">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המשיב.</w:t>
      </w:r>
    </w:p>
    <w:p w:rsidR="00301308" w:rsidRDefault="00301308" w:rsidP="00301308">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ו.</w:t>
      </w:r>
      <w:r>
        <w:rPr>
          <w:rFonts w:ascii="David" w:eastAsiaTheme="minorHAnsi" w:hAnsi="David"/>
          <w:noProof w:val="0"/>
          <w:rtl/>
        </w:rPr>
        <w:tab/>
        <w:t>אין ולא יכולה להיות הצדקה לקיום זמני השהות של</w:t>
      </w:r>
      <w:r w:rsidR="005159F9">
        <w:rPr>
          <w:rFonts w:ascii="David" w:eastAsiaTheme="minorHAnsi" w:hAnsi="David"/>
          <w:noProof w:val="0"/>
          <w:rtl/>
        </w:rPr>
        <w:t xml:space="preserve"> המשיב עם הקטינים במרכז קשר,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כאשר נקבע במפורש על ידי גורמים מקצועיים (פסיכולוג קלי</w:t>
      </w:r>
      <w:r w:rsidR="005159F9">
        <w:rPr>
          <w:rFonts w:ascii="David" w:eastAsiaTheme="minorHAnsi" w:hAnsi="David"/>
          <w:noProof w:val="0"/>
          <w:rtl/>
        </w:rPr>
        <w:t xml:space="preserve">ני ופסיכיאטר בכיר) והן על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ידי </w:t>
      </w:r>
      <w:r>
        <w:rPr>
          <w:rFonts w:ascii="David" w:eastAsiaTheme="minorHAnsi" w:hAnsi="David"/>
          <w:noProof w:val="0"/>
          <w:rtl/>
        </w:rPr>
        <w:t>ערכאות שיפוטיות, כי המבקש אינו מסוכן לילדיו.</w:t>
      </w:r>
    </w:p>
    <w:p w:rsidR="00301308" w:rsidRDefault="00301308" w:rsidP="00812032">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ז.</w:t>
      </w:r>
      <w:r>
        <w:rPr>
          <w:rFonts w:ascii="David" w:eastAsiaTheme="minorHAnsi" w:hAnsi="David"/>
          <w:noProof w:val="0"/>
          <w:rtl/>
        </w:rPr>
        <w:tab/>
        <w:t xml:space="preserve">מוכחשת מכל וכל טענת המבקשת לאלימות פיסית או </w:t>
      </w:r>
      <w:r w:rsidR="005159F9">
        <w:rPr>
          <w:rFonts w:ascii="David" w:eastAsiaTheme="minorHAnsi" w:hAnsi="David"/>
          <w:noProof w:val="0"/>
          <w:rtl/>
        </w:rPr>
        <w:t xml:space="preserve">אחרת מצד המשיב כלפי הקטינים –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 xml:space="preserve">מדובר בהאשמה חמורה ומשוללת כל יסוד שנטענה בעלמה </w:t>
      </w:r>
      <w:r w:rsidR="005159F9">
        <w:rPr>
          <w:rFonts w:ascii="David" w:eastAsiaTheme="minorHAnsi" w:hAnsi="David"/>
          <w:noProof w:val="0"/>
          <w:rtl/>
        </w:rPr>
        <w:t xml:space="preserve">ללא כל סימוכין, ונועדה </w:t>
      </w:r>
      <w:r w:rsidR="00812032">
        <w:rPr>
          <w:rFonts w:ascii="David" w:eastAsiaTheme="minorHAnsi" w:hAnsi="David"/>
          <w:noProof w:val="0"/>
          <w:rtl/>
        </w:rPr>
        <w:tab/>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להשחיר </w:t>
      </w:r>
      <w:r>
        <w:rPr>
          <w:rFonts w:ascii="David" w:eastAsiaTheme="minorHAnsi" w:hAnsi="David"/>
          <w:noProof w:val="0"/>
          <w:rtl/>
        </w:rPr>
        <w:t>את שמו של המשיב ולנתקו מילדיו כליל.</w:t>
      </w:r>
    </w:p>
    <w:p w:rsidR="00301308" w:rsidRDefault="00301308" w:rsidP="00812032">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ח.</w:t>
      </w:r>
      <w:r>
        <w:rPr>
          <w:rFonts w:ascii="David" w:eastAsiaTheme="minorHAnsi" w:hAnsi="David"/>
          <w:noProof w:val="0"/>
          <w:rtl/>
        </w:rPr>
        <w:tab/>
        <w:t>החלטות בית המשפט קמא, המורות על קיום זמני השה</w:t>
      </w:r>
      <w:r w:rsidR="005159F9">
        <w:rPr>
          <w:rFonts w:ascii="David" w:eastAsiaTheme="minorHAnsi" w:hAnsi="David"/>
          <w:noProof w:val="0"/>
          <w:rtl/>
        </w:rPr>
        <w:t xml:space="preserve">ות של הקטינים עם המשיב בפיקוח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מי מהורי המשיב, מקוימות כדבעי והמפגשים אכן מת</w:t>
      </w:r>
      <w:r w:rsidR="005159F9">
        <w:rPr>
          <w:rFonts w:ascii="David" w:eastAsiaTheme="minorHAnsi" w:hAnsi="David"/>
          <w:noProof w:val="0"/>
          <w:rtl/>
        </w:rPr>
        <w:t xml:space="preserve">קיימים בהצלחה. טענות המבקשת,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hint="cs"/>
          <w:noProof w:val="0"/>
          <w:rtl/>
        </w:rPr>
        <w:t>כ</w:t>
      </w:r>
      <w:r>
        <w:rPr>
          <w:rFonts w:ascii="David" w:eastAsiaTheme="minorHAnsi" w:hAnsi="David"/>
          <w:noProof w:val="0"/>
          <w:rtl/>
        </w:rPr>
        <w:t>אילו אם המשיב נהגה כלפיה באלימות נטענו זה מכבר</w:t>
      </w:r>
      <w:r w:rsidR="005159F9">
        <w:rPr>
          <w:rFonts w:ascii="David" w:eastAsiaTheme="minorHAnsi" w:hAnsi="David"/>
          <w:noProof w:val="0"/>
          <w:rtl/>
        </w:rPr>
        <w:t xml:space="preserve"> ובית משפט קמא לא ייחס לטענות </w:t>
      </w:r>
      <w:r w:rsidR="00812032">
        <w:rPr>
          <w:rFonts w:ascii="David" w:eastAsiaTheme="minorHAnsi" w:hAnsi="David"/>
          <w:noProof w:val="0"/>
          <w:rtl/>
        </w:rPr>
        <w:tab/>
      </w:r>
      <w:r w:rsidR="00812032">
        <w:rPr>
          <w:rFonts w:ascii="David" w:eastAsiaTheme="minorHAnsi" w:hAnsi="David"/>
          <w:noProof w:val="0"/>
          <w:rtl/>
        </w:rPr>
        <w:tab/>
      </w:r>
      <w:r>
        <w:rPr>
          <w:rFonts w:ascii="David" w:eastAsiaTheme="minorHAnsi" w:hAnsi="David"/>
          <w:noProof w:val="0"/>
          <w:rtl/>
        </w:rPr>
        <w:t>אלה דבר וחצי דבר עוד כשנטענות לראשונה, והן מוכחשות מכל וכל.</w:t>
      </w:r>
    </w:p>
    <w:p w:rsidR="00301308" w:rsidRDefault="00301308" w:rsidP="00301308">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ט.</w:t>
      </w:r>
      <w:r>
        <w:rPr>
          <w:rFonts w:ascii="David" w:eastAsiaTheme="minorHAnsi" w:hAnsi="David"/>
          <w:noProof w:val="0"/>
          <w:rtl/>
        </w:rPr>
        <w:tab/>
        <w:t>המסגרת הנורמטיבית – ככלל, יאמץ בית המשפט את המל</w:t>
      </w:r>
      <w:r w:rsidR="005159F9">
        <w:rPr>
          <w:rFonts w:ascii="David" w:eastAsiaTheme="minorHAnsi" w:hAnsi="David"/>
          <w:noProof w:val="0"/>
          <w:rtl/>
        </w:rPr>
        <w:t xml:space="preserve">צת המומחה (ועו"ס ס"ד בכלל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זה) </w:t>
      </w:r>
      <w:r>
        <w:rPr>
          <w:rFonts w:ascii="David" w:eastAsiaTheme="minorHAnsi" w:hAnsi="David"/>
          <w:noProof w:val="0"/>
          <w:rtl/>
        </w:rPr>
        <w:t>שאותו מינה, אלא אם קיימים טעמים נכבדים ובעלי מש</w:t>
      </w:r>
      <w:r w:rsidR="005159F9">
        <w:rPr>
          <w:rFonts w:ascii="David" w:eastAsiaTheme="minorHAnsi" w:hAnsi="David"/>
          <w:noProof w:val="0"/>
          <w:rtl/>
        </w:rPr>
        <w:t xml:space="preserve">קל ממשי, המצדיקים סטייה </w:t>
      </w:r>
      <w:r w:rsidR="00812032">
        <w:rPr>
          <w:rFonts w:ascii="David" w:eastAsiaTheme="minorHAnsi" w:hAnsi="David"/>
          <w:noProof w:val="0"/>
          <w:rtl/>
        </w:rPr>
        <w:lastRenderedPageBreak/>
        <w:tab/>
      </w:r>
      <w:r w:rsidR="00812032">
        <w:rPr>
          <w:rFonts w:ascii="David" w:eastAsiaTheme="minorHAnsi" w:hAnsi="David"/>
          <w:noProof w:val="0"/>
          <w:rtl/>
        </w:rPr>
        <w:tab/>
      </w:r>
      <w:r w:rsidR="005159F9">
        <w:rPr>
          <w:rFonts w:ascii="David" w:eastAsiaTheme="minorHAnsi" w:hAnsi="David"/>
          <w:noProof w:val="0"/>
          <w:rtl/>
        </w:rPr>
        <w:t xml:space="preserve">מאותה </w:t>
      </w:r>
      <w:r>
        <w:rPr>
          <w:rFonts w:ascii="David" w:eastAsiaTheme="minorHAnsi" w:hAnsi="David"/>
          <w:noProof w:val="0"/>
          <w:rtl/>
        </w:rPr>
        <w:t>המלצה. יחד עם זאת, בית המשפט אינו חייב לאמץ את כו</w:t>
      </w:r>
      <w:r w:rsidR="005159F9">
        <w:rPr>
          <w:rFonts w:ascii="David" w:eastAsiaTheme="minorHAnsi" w:hAnsi="David"/>
          <w:noProof w:val="0"/>
          <w:rtl/>
        </w:rPr>
        <w:t xml:space="preserve">לה או חלק ממנה, ובסופו </w:t>
      </w:r>
      <w:r w:rsidR="00812032">
        <w:rPr>
          <w:rFonts w:ascii="David" w:eastAsiaTheme="minorHAnsi" w:hAnsi="David"/>
          <w:noProof w:val="0"/>
          <w:rtl/>
        </w:rPr>
        <w:tab/>
      </w:r>
      <w:r w:rsidR="00812032">
        <w:rPr>
          <w:rFonts w:ascii="David" w:eastAsiaTheme="minorHAnsi" w:hAnsi="David"/>
          <w:noProof w:val="0"/>
          <w:rtl/>
        </w:rPr>
        <w:tab/>
      </w:r>
      <w:r w:rsidR="005159F9">
        <w:rPr>
          <w:rFonts w:ascii="David" w:eastAsiaTheme="minorHAnsi" w:hAnsi="David"/>
          <w:noProof w:val="0"/>
          <w:rtl/>
        </w:rPr>
        <w:t xml:space="preserve">של יום </w:t>
      </w:r>
      <w:r>
        <w:rPr>
          <w:rFonts w:ascii="David" w:eastAsiaTheme="minorHAnsi" w:hAnsi="David"/>
          <w:noProof w:val="0"/>
          <w:rtl/>
        </w:rPr>
        <w:t xml:space="preserve">משקלה הראייתי של ההמלצה נתון לקביעת בית המשפט, ככל ראיה אחרת. </w:t>
      </w:r>
    </w:p>
    <w:p w:rsidR="00301308" w:rsidRDefault="008971F8" w:rsidP="00812032">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ab/>
        <w:t>י.</w:t>
      </w:r>
      <w:r>
        <w:rPr>
          <w:rFonts w:ascii="David" w:eastAsiaTheme="minorHAnsi" w:hAnsi="David"/>
          <w:noProof w:val="0"/>
          <w:rtl/>
        </w:rPr>
        <w:tab/>
        <w:t xml:space="preserve">בנדון דידן, בחן </w:t>
      </w:r>
      <w:r w:rsidR="00301308">
        <w:rPr>
          <w:rFonts w:ascii="David" w:eastAsiaTheme="minorHAnsi" w:hAnsi="David"/>
          <w:noProof w:val="0"/>
          <w:rtl/>
        </w:rPr>
        <w:t>בית משפט קמא את מלוא הנתונים שהו</w:t>
      </w:r>
      <w:r w:rsidR="00812032">
        <w:rPr>
          <w:rFonts w:ascii="David" w:eastAsiaTheme="minorHAnsi" w:hAnsi="David"/>
          <w:noProof w:val="0"/>
          <w:rtl/>
        </w:rPr>
        <w:t>נחו בפניו וקבע – אף</w:t>
      </w:r>
      <w:r w:rsidR="00812032">
        <w:rPr>
          <w:rFonts w:ascii="David" w:eastAsiaTheme="minorHAnsi" w:hAnsi="David" w:hint="cs"/>
          <w:noProof w:val="0"/>
          <w:rtl/>
        </w:rPr>
        <w:t xml:space="preserve"> </w:t>
      </w:r>
      <w:r w:rsidR="005159F9">
        <w:rPr>
          <w:rFonts w:ascii="David" w:eastAsiaTheme="minorHAnsi" w:hAnsi="David"/>
          <w:noProof w:val="0"/>
          <w:rtl/>
        </w:rPr>
        <w:t xml:space="preserve">טרם מיצוי </w:t>
      </w:r>
      <w:r w:rsidR="00812032">
        <w:rPr>
          <w:rFonts w:ascii="David" w:eastAsiaTheme="minorHAnsi" w:hAnsi="David"/>
          <w:noProof w:val="0"/>
          <w:rtl/>
        </w:rPr>
        <w:tab/>
      </w:r>
      <w:r w:rsidR="00812032">
        <w:rPr>
          <w:rFonts w:ascii="David" w:eastAsiaTheme="minorHAnsi" w:hAnsi="David"/>
          <w:noProof w:val="0"/>
          <w:rtl/>
        </w:rPr>
        <w:tab/>
      </w:r>
      <w:r w:rsidR="00301308">
        <w:rPr>
          <w:rFonts w:ascii="David" w:eastAsiaTheme="minorHAnsi" w:hAnsi="David"/>
          <w:noProof w:val="0"/>
          <w:rtl/>
        </w:rPr>
        <w:t xml:space="preserve">ההליך – כי טובתם הברורה והמובהקת של הקטינים </w:t>
      </w:r>
      <w:r w:rsidR="00812032">
        <w:rPr>
          <w:rFonts w:ascii="David" w:eastAsiaTheme="minorHAnsi" w:hAnsi="David"/>
          <w:noProof w:val="0"/>
          <w:rtl/>
        </w:rPr>
        <w:t>לפגוש את</w:t>
      </w:r>
      <w:r w:rsidR="00812032">
        <w:rPr>
          <w:rFonts w:ascii="David" w:eastAsiaTheme="minorHAnsi" w:hAnsi="David" w:hint="cs"/>
          <w:noProof w:val="0"/>
          <w:rtl/>
        </w:rPr>
        <w:t xml:space="preserve"> </w:t>
      </w:r>
      <w:r w:rsidR="005159F9">
        <w:rPr>
          <w:rFonts w:ascii="David" w:eastAsiaTheme="minorHAnsi" w:hAnsi="David"/>
          <w:noProof w:val="0"/>
          <w:rtl/>
        </w:rPr>
        <w:t xml:space="preserve">אביהם בסביבתם הטבעית </w:t>
      </w:r>
      <w:r w:rsidR="00812032">
        <w:rPr>
          <w:rFonts w:ascii="David" w:eastAsiaTheme="minorHAnsi" w:hAnsi="David"/>
          <w:noProof w:val="0"/>
          <w:rtl/>
        </w:rPr>
        <w:tab/>
      </w:r>
      <w:r w:rsidR="00812032">
        <w:rPr>
          <w:rFonts w:ascii="David" w:eastAsiaTheme="minorHAnsi" w:hAnsi="David"/>
          <w:noProof w:val="0"/>
          <w:rtl/>
        </w:rPr>
        <w:tab/>
      </w:r>
      <w:r w:rsidR="00301308">
        <w:rPr>
          <w:rFonts w:ascii="David" w:eastAsiaTheme="minorHAnsi" w:hAnsi="David"/>
          <w:noProof w:val="0"/>
          <w:rtl/>
        </w:rPr>
        <w:t xml:space="preserve">ללא נוכחות של גורמי הרווחה, כשהוא נותן משקל מובהק </w:t>
      </w:r>
      <w:r w:rsidR="005159F9">
        <w:rPr>
          <w:rFonts w:ascii="David" w:eastAsiaTheme="minorHAnsi" w:hAnsi="David" w:hint="cs"/>
          <w:noProof w:val="0"/>
          <w:rtl/>
        </w:rPr>
        <w:t>ל</w:t>
      </w:r>
      <w:r w:rsidR="00301308">
        <w:rPr>
          <w:rFonts w:ascii="David" w:eastAsiaTheme="minorHAnsi" w:hAnsi="David"/>
          <w:noProof w:val="0"/>
          <w:rtl/>
        </w:rPr>
        <w:t xml:space="preserve">טובתם המוחלטת והבלעדית. </w:t>
      </w:r>
    </w:p>
    <w:p w:rsidR="00301308" w:rsidRDefault="00301308" w:rsidP="00301308">
      <w:pPr>
        <w:autoSpaceDE w:val="0"/>
        <w:autoSpaceDN w:val="0"/>
        <w:adjustRightInd w:val="0"/>
        <w:spacing w:after="120" w:line="360" w:lineRule="auto"/>
        <w:jc w:val="both"/>
        <w:rPr>
          <w:rFonts w:ascii="David" w:eastAsiaTheme="minorHAnsi" w:hAnsi="David"/>
          <w:noProof w:val="0"/>
          <w:rtl/>
        </w:rPr>
      </w:pPr>
    </w:p>
    <w:p w:rsidR="00301308" w:rsidRDefault="00301308" w:rsidP="00301308">
      <w:pPr>
        <w:autoSpaceDE w:val="0"/>
        <w:autoSpaceDN w:val="0"/>
        <w:adjustRightInd w:val="0"/>
        <w:spacing w:after="120" w:line="360" w:lineRule="auto"/>
        <w:jc w:val="both"/>
        <w:rPr>
          <w:rFonts w:ascii="David" w:eastAsiaTheme="minorHAnsi" w:hAnsi="David"/>
          <w:b/>
          <w:bCs/>
          <w:noProof w:val="0"/>
          <w:u w:val="single"/>
          <w:rtl/>
        </w:rPr>
      </w:pPr>
      <w:r>
        <w:rPr>
          <w:rFonts w:ascii="David" w:eastAsiaTheme="minorHAnsi" w:hAnsi="David"/>
          <w:b/>
          <w:bCs/>
          <w:noProof w:val="0"/>
          <w:u w:val="single"/>
          <w:rtl/>
        </w:rPr>
        <w:t>דיון והכרעה</w:t>
      </w:r>
    </w:p>
    <w:p w:rsidR="00301308" w:rsidRDefault="00301308" w:rsidP="00301308">
      <w:pPr>
        <w:autoSpaceDE w:val="0"/>
        <w:autoSpaceDN w:val="0"/>
        <w:adjustRightInd w:val="0"/>
        <w:spacing w:after="120" w:line="360" w:lineRule="auto"/>
        <w:jc w:val="both"/>
        <w:rPr>
          <w:rFonts w:ascii="David" w:eastAsiaTheme="minorHAnsi" w:hAnsi="David"/>
          <w:noProof w:val="0"/>
          <w:rtl/>
        </w:rPr>
      </w:pPr>
      <w:r>
        <w:rPr>
          <w:rFonts w:ascii="David" w:eastAsiaTheme="minorHAnsi" w:hAnsi="David"/>
          <w:noProof w:val="0"/>
          <w:rtl/>
        </w:rPr>
        <w:t>27.</w:t>
      </w:r>
      <w:r>
        <w:rPr>
          <w:rFonts w:ascii="David" w:eastAsiaTheme="minorHAnsi" w:hAnsi="David"/>
          <w:noProof w:val="0"/>
          <w:rtl/>
        </w:rPr>
        <w:tab/>
      </w:r>
      <w:r>
        <w:rPr>
          <w:rFonts w:ascii="David" w:hAnsi="David"/>
          <w:b/>
          <w:bCs/>
          <w:rtl/>
        </w:rPr>
        <w:t xml:space="preserve">לאחר עיון בבקשת רשות הערעור, בתשובה לה ובתיק קמא, החלטתי ליתן רשות ערעור </w:t>
      </w:r>
      <w:r w:rsidR="005159F9">
        <w:rPr>
          <w:rFonts w:ascii="David" w:hAnsi="David"/>
          <w:b/>
          <w:bCs/>
          <w:rtl/>
        </w:rPr>
        <w:tab/>
      </w:r>
      <w:r>
        <w:rPr>
          <w:rFonts w:ascii="David" w:hAnsi="David"/>
          <w:b/>
          <w:bCs/>
          <w:rtl/>
        </w:rPr>
        <w:t xml:space="preserve">ולדחות </w:t>
      </w:r>
      <w:r>
        <w:rPr>
          <w:rFonts w:ascii="David" w:hAnsi="David"/>
          <w:b/>
          <w:bCs/>
          <w:rtl/>
        </w:rPr>
        <w:tab/>
        <w:t xml:space="preserve">הערעור לגופו, מכח סמכותי על פי תקנה 146(א)(2) לתקנות סדר הדין האזרחי, </w:t>
      </w:r>
      <w:r w:rsidR="005159F9">
        <w:rPr>
          <w:rFonts w:ascii="David" w:hAnsi="David"/>
          <w:b/>
          <w:bCs/>
          <w:rtl/>
        </w:rPr>
        <w:tab/>
      </w:r>
      <w:r>
        <w:rPr>
          <w:rFonts w:ascii="David" w:hAnsi="David"/>
          <w:b/>
          <w:bCs/>
          <w:rtl/>
        </w:rPr>
        <w:t>תשע"ט-2018.</w:t>
      </w:r>
    </w:p>
    <w:p w:rsidR="00301308" w:rsidRDefault="00301308" w:rsidP="00301308">
      <w:pPr>
        <w:spacing w:after="120" w:line="360" w:lineRule="auto"/>
        <w:ind w:left="720" w:hanging="720"/>
        <w:jc w:val="both"/>
        <w:rPr>
          <w:rFonts w:ascii="David" w:hAnsi="David"/>
          <w:rtl/>
        </w:rPr>
      </w:pPr>
      <w:r>
        <w:rPr>
          <w:rFonts w:ascii="David" w:hAnsi="David"/>
          <w:rtl/>
        </w:rPr>
        <w:t>28.</w:t>
      </w:r>
      <w:r>
        <w:rPr>
          <w:rFonts w:ascii="David" w:hAnsi="David"/>
          <w:rtl/>
        </w:rPr>
        <w:tab/>
      </w:r>
      <w:r>
        <w:rPr>
          <w:rFonts w:ascii="David" w:hAnsi="David"/>
          <w:u w:val="single"/>
          <w:rtl/>
        </w:rPr>
        <w:t>השאלה המשמעותית העומדת בפני היא, האם יש מקום להורות, לנוכח מסוכנות לכאורית נטענת מצד המשיב כלפי ילדיו הקטינים, כי מפגשי הקטינים עם האב יהיו במרכז קשר</w:t>
      </w:r>
      <w:r>
        <w:rPr>
          <w:rFonts w:ascii="David" w:hAnsi="David"/>
          <w:rtl/>
        </w:rPr>
        <w:t>?</w:t>
      </w:r>
    </w:p>
    <w:p w:rsidR="00301308" w:rsidRDefault="00301308" w:rsidP="00301308">
      <w:pPr>
        <w:spacing w:after="120" w:line="360" w:lineRule="auto"/>
        <w:ind w:left="720" w:hanging="720"/>
        <w:jc w:val="both"/>
        <w:rPr>
          <w:rFonts w:ascii="David" w:hAnsi="David"/>
          <w:rtl/>
        </w:rPr>
      </w:pPr>
      <w:r>
        <w:rPr>
          <w:rFonts w:ascii="David" w:hAnsi="David"/>
          <w:rtl/>
        </w:rPr>
        <w:tab/>
        <w:t>ברור כי מפגשים כאלה, מעבר לקושי הנובע מהם למשיב, מהווים שינוי משמעותי עבור הקטינים, ולא בהכרח עולה עם טובתם, כהחלטת השופטת קמא מיום 4.4.2023, המצוטטת בסעיף 16 לעיל.</w:t>
      </w:r>
    </w:p>
    <w:p w:rsidR="00301308" w:rsidRDefault="00301308" w:rsidP="00301308">
      <w:pPr>
        <w:spacing w:after="120" w:line="360" w:lineRule="auto"/>
        <w:ind w:left="720" w:hanging="720"/>
        <w:jc w:val="both"/>
        <w:rPr>
          <w:rFonts w:ascii="David" w:hAnsi="David"/>
          <w:rtl/>
        </w:rPr>
      </w:pPr>
      <w:r>
        <w:rPr>
          <w:rFonts w:ascii="David" w:hAnsi="David"/>
          <w:rtl/>
        </w:rPr>
        <w:t>29.</w:t>
      </w:r>
      <w:r>
        <w:rPr>
          <w:rFonts w:ascii="David" w:hAnsi="David"/>
          <w:rtl/>
        </w:rPr>
        <w:tab/>
        <w:t xml:space="preserve">לאחר עיון בתשובת המשיב על פרטיה, בממצאי הפסיכולוג קפלן (סעיף 15 לעיל) ובממצאי הפסיכיאטר מיום 19.4.3023 ד"ר אריה יעקב דינסטג (להלן: </w:t>
      </w:r>
      <w:r>
        <w:rPr>
          <w:rFonts w:ascii="David" w:hAnsi="David"/>
          <w:b/>
          <w:bCs/>
          <w:rtl/>
        </w:rPr>
        <w:t>"הפסיכיאטר דינסטג</w:t>
      </w:r>
      <w:r>
        <w:rPr>
          <w:rFonts w:ascii="David" w:hAnsi="David"/>
          <w:rtl/>
        </w:rPr>
        <w:t>"), כפי שהוצגו לבית משפט קמא ואף צורפו לתשובת המשיב</w:t>
      </w:r>
      <w:r w:rsidR="007706C0">
        <w:rPr>
          <w:rFonts w:ascii="David" w:hAnsi="David" w:hint="cs"/>
          <w:rtl/>
        </w:rPr>
        <w:t xml:space="preserve"> (ראו סעיף 26(ה))</w:t>
      </w:r>
      <w:r w:rsidR="007706C0">
        <w:rPr>
          <w:rFonts w:ascii="David" w:hAnsi="David"/>
          <w:rtl/>
        </w:rPr>
        <w:t xml:space="preserve">, </w:t>
      </w:r>
      <w:r w:rsidR="007706C0">
        <w:rPr>
          <w:rFonts w:ascii="David" w:hAnsi="David" w:hint="cs"/>
          <w:b/>
          <w:bCs/>
          <w:rtl/>
        </w:rPr>
        <w:t>ש</w:t>
      </w:r>
      <w:r>
        <w:rPr>
          <w:rFonts w:ascii="David" w:hAnsi="David"/>
          <w:b/>
          <w:bCs/>
          <w:rtl/>
        </w:rPr>
        <w:t>שלל מסוכנות של המשיב כלפי עצמו ו/או הקטינים</w:t>
      </w:r>
      <w:r>
        <w:rPr>
          <w:rFonts w:ascii="David" w:hAnsi="David"/>
          <w:rtl/>
        </w:rPr>
        <w:t xml:space="preserve"> (והמומחה האמור היה מודע לדו"ח מכון אל"י ותסקירי העו"ס לסדרי דין שהוזכרו לעיל), </w:t>
      </w:r>
      <w:r>
        <w:rPr>
          <w:rFonts w:ascii="David" w:hAnsi="David"/>
          <w:b/>
          <w:bCs/>
          <w:rtl/>
        </w:rPr>
        <w:t>נחה דעתי כי השופטת קמא שקלה את מלוא השיקולים הרלוונטיים, ואין מקום להתערב בהחלטותיה</w:t>
      </w:r>
      <w:r>
        <w:rPr>
          <w:rFonts w:ascii="David" w:hAnsi="David"/>
          <w:rtl/>
        </w:rPr>
        <w:t xml:space="preserve"> </w:t>
      </w:r>
      <w:r>
        <w:rPr>
          <w:rFonts w:ascii="David" w:hAnsi="David"/>
          <w:b/>
          <w:bCs/>
          <w:rtl/>
        </w:rPr>
        <w:t>נשוא רמ"ש זה</w:t>
      </w:r>
      <w:r>
        <w:rPr>
          <w:rFonts w:ascii="David" w:hAnsi="David"/>
          <w:rtl/>
        </w:rPr>
        <w:t>.</w:t>
      </w:r>
    </w:p>
    <w:p w:rsidR="00301308" w:rsidRDefault="00301308" w:rsidP="00301308">
      <w:pPr>
        <w:spacing w:after="120" w:line="360" w:lineRule="auto"/>
        <w:ind w:left="720" w:hanging="720"/>
        <w:jc w:val="both"/>
        <w:rPr>
          <w:rFonts w:ascii="David" w:hAnsi="David"/>
          <w:rtl/>
        </w:rPr>
      </w:pPr>
      <w:r>
        <w:rPr>
          <w:rFonts w:ascii="David" w:hAnsi="David"/>
          <w:rtl/>
        </w:rPr>
        <w:t>30.</w:t>
      </w:r>
      <w:r>
        <w:rPr>
          <w:rFonts w:ascii="David" w:hAnsi="David"/>
          <w:rtl/>
        </w:rPr>
        <w:tab/>
        <w:t>נדגיש, מיד לכשנודע לשופטת קמא מסוכנות לכאורית אפשרית מצד המשיב כלפי ילדיו (מסוכנות שלכאורה נדחתה על ידי הפסיכולוג קפלן והפסיכיאטר דינסטג), היא הורתה כי זמני השהות של המשיב עם הקטינים, שלא כוללים לינה, יהיו בפיקוח של מי מהורי המשיב.</w:t>
      </w:r>
    </w:p>
    <w:p w:rsidR="00301308" w:rsidRDefault="00301308" w:rsidP="00301308">
      <w:pPr>
        <w:spacing w:after="120" w:line="360" w:lineRule="auto"/>
        <w:ind w:left="720" w:hanging="720"/>
        <w:jc w:val="both"/>
        <w:rPr>
          <w:rFonts w:ascii="David" w:hAnsi="David"/>
          <w:rtl/>
        </w:rPr>
      </w:pPr>
      <w:r>
        <w:rPr>
          <w:rFonts w:ascii="David" w:hAnsi="David"/>
          <w:rtl/>
        </w:rPr>
        <w:t>31.</w:t>
      </w:r>
      <w:r>
        <w:rPr>
          <w:rFonts w:ascii="David" w:hAnsi="David"/>
          <w:rtl/>
        </w:rPr>
        <w:tab/>
        <w:t>כעולה מתשובתו של המשיב, פיקוח זה מתקיים כסדרו, ולא מצאתי בחומר שבפני כל טרוניה של ממש מצד המבקשת לעצם הפיקוח של מי מהורי המשיב (מעבר לטענה שאימו של המשיב היתה אלימה כלפיה, שביסוסה כלל לא ברור בעיניי – וראו דברי המשיב בסעיף 39 לתשובתו).</w:t>
      </w:r>
    </w:p>
    <w:p w:rsidR="002F5610" w:rsidRDefault="00301308" w:rsidP="002F5610">
      <w:pPr>
        <w:spacing w:after="120" w:line="360" w:lineRule="auto"/>
        <w:ind w:left="720" w:hanging="720"/>
        <w:jc w:val="both"/>
        <w:rPr>
          <w:rFonts w:ascii="David" w:hAnsi="David"/>
          <w:rtl/>
        </w:rPr>
      </w:pPr>
      <w:r>
        <w:rPr>
          <w:rFonts w:ascii="David" w:hAnsi="David"/>
          <w:rtl/>
        </w:rPr>
        <w:t>32.</w:t>
      </w:r>
      <w:r>
        <w:rPr>
          <w:rFonts w:ascii="David" w:hAnsi="David"/>
          <w:rtl/>
        </w:rPr>
        <w:tab/>
      </w:r>
      <w:r>
        <w:rPr>
          <w:rFonts w:ascii="David" w:hAnsi="David"/>
          <w:u w:val="single"/>
          <w:rtl/>
        </w:rPr>
        <w:t>יותר מזה – משביקש המשיב מבית משפט קמא לבטל את הפיקוח ולהרחיב את זמני השהות לנוכח ממצאיו של הפסיכיאטר דינסטג, דחה בית משפט קמא את בקשתו בהחלטה מיום 23.4.2023, שציטוטה כדלקמן</w:t>
      </w:r>
      <w:r>
        <w:rPr>
          <w:rFonts w:ascii="David" w:hAnsi="David"/>
          <w:rtl/>
        </w:rPr>
        <w:t>:</w:t>
      </w:r>
    </w:p>
    <w:p w:rsidR="002F5610" w:rsidRDefault="002F5610" w:rsidP="002F5610">
      <w:pPr>
        <w:spacing w:after="120" w:line="360" w:lineRule="auto"/>
        <w:ind w:left="720" w:hanging="720"/>
        <w:jc w:val="both"/>
        <w:rPr>
          <w:rFonts w:ascii="David" w:hAnsi="David"/>
          <w:rtl/>
        </w:rPr>
      </w:pPr>
    </w:p>
    <w:p w:rsidR="002F5610" w:rsidRDefault="002F5610" w:rsidP="002F5610">
      <w:pPr>
        <w:spacing w:after="120" w:line="360" w:lineRule="auto"/>
        <w:ind w:left="720" w:hanging="720"/>
        <w:jc w:val="both"/>
        <w:rPr>
          <w:rFonts w:ascii="David" w:hAnsi="David"/>
          <w:rtl/>
        </w:rPr>
      </w:pPr>
    </w:p>
    <w:p w:rsidR="00301308" w:rsidRDefault="00301308" w:rsidP="00301308">
      <w:pPr>
        <w:spacing w:after="120" w:line="360" w:lineRule="auto"/>
        <w:ind w:left="1287" w:right="567" w:hanging="720"/>
        <w:jc w:val="both"/>
        <w:rPr>
          <w:rFonts w:ascii="David" w:eastAsiaTheme="minorHAnsi" w:hAnsi="David"/>
          <w:b/>
          <w:bCs/>
          <w:rtl/>
        </w:rPr>
      </w:pPr>
      <w:r>
        <w:rPr>
          <w:rFonts w:ascii="David" w:hAnsi="David"/>
          <w:rtl/>
        </w:rPr>
        <w:lastRenderedPageBreak/>
        <w:tab/>
      </w:r>
      <w:r>
        <w:rPr>
          <w:rFonts w:ascii="David" w:eastAsiaTheme="minorHAnsi" w:hAnsi="David"/>
          <w:b/>
          <w:bCs/>
          <w:rtl/>
        </w:rPr>
        <w:t>"רשמתי</w:t>
      </w:r>
      <w:r>
        <w:rPr>
          <w:rFonts w:ascii="David" w:eastAsiaTheme="minorHAnsi" w:hAnsi="David"/>
          <w:b/>
          <w:bCs/>
        </w:rPr>
        <w:t xml:space="preserve"> </w:t>
      </w:r>
      <w:r>
        <w:rPr>
          <w:rFonts w:ascii="David" w:eastAsiaTheme="minorHAnsi" w:hAnsi="David"/>
          <w:b/>
          <w:bCs/>
          <w:rtl/>
        </w:rPr>
        <w:t>לפניי</w:t>
      </w:r>
      <w:r>
        <w:rPr>
          <w:rFonts w:ascii="David" w:eastAsiaTheme="minorHAnsi" w:hAnsi="David"/>
          <w:b/>
          <w:bCs/>
        </w:rPr>
        <w:t>.</w:t>
      </w:r>
    </w:p>
    <w:p w:rsidR="00301308" w:rsidRDefault="00301308" w:rsidP="00301308">
      <w:pPr>
        <w:spacing w:after="120" w:line="360" w:lineRule="auto"/>
        <w:ind w:left="1287" w:right="567" w:hanging="720"/>
        <w:jc w:val="both"/>
        <w:rPr>
          <w:rFonts w:ascii="David" w:eastAsiaTheme="minorHAnsi" w:hAnsi="David"/>
          <w:b/>
          <w:bCs/>
        </w:rPr>
      </w:pPr>
      <w:r>
        <w:rPr>
          <w:rFonts w:ascii="David" w:hAnsi="David"/>
          <w:b/>
          <w:bCs/>
          <w:rtl/>
        </w:rPr>
        <w:tab/>
      </w:r>
      <w:r>
        <w:rPr>
          <w:rFonts w:ascii="David" w:eastAsiaTheme="minorHAnsi" w:hAnsi="David"/>
          <w:b/>
          <w:bCs/>
          <w:rtl/>
        </w:rPr>
        <w:t>בשלב</w:t>
      </w:r>
      <w:r>
        <w:rPr>
          <w:rFonts w:ascii="David" w:eastAsiaTheme="minorHAnsi" w:hAnsi="David"/>
          <w:b/>
          <w:bCs/>
        </w:rPr>
        <w:t xml:space="preserve"> </w:t>
      </w:r>
      <w:r>
        <w:rPr>
          <w:rFonts w:ascii="David" w:eastAsiaTheme="minorHAnsi" w:hAnsi="David"/>
          <w:b/>
          <w:bCs/>
          <w:rtl/>
        </w:rPr>
        <w:t>זה,</w:t>
      </w:r>
      <w:r>
        <w:rPr>
          <w:rFonts w:ascii="David" w:eastAsiaTheme="minorHAnsi" w:hAnsi="David"/>
          <w:b/>
          <w:bCs/>
        </w:rPr>
        <w:t xml:space="preserve"> </w:t>
      </w:r>
      <w:r>
        <w:rPr>
          <w:rFonts w:ascii="David" w:eastAsiaTheme="minorHAnsi" w:hAnsi="David"/>
          <w:b/>
          <w:bCs/>
          <w:rtl/>
        </w:rPr>
        <w:t>אין</w:t>
      </w:r>
      <w:r>
        <w:rPr>
          <w:rFonts w:ascii="David" w:eastAsiaTheme="minorHAnsi" w:hAnsi="David"/>
          <w:b/>
          <w:bCs/>
        </w:rPr>
        <w:t xml:space="preserve"> </w:t>
      </w:r>
      <w:r>
        <w:rPr>
          <w:rFonts w:ascii="David" w:eastAsiaTheme="minorHAnsi" w:hAnsi="David"/>
          <w:b/>
          <w:bCs/>
          <w:rtl/>
        </w:rPr>
        <w:t>מקום</w:t>
      </w:r>
      <w:r>
        <w:rPr>
          <w:rFonts w:ascii="David" w:eastAsiaTheme="minorHAnsi" w:hAnsi="David"/>
          <w:b/>
          <w:bCs/>
        </w:rPr>
        <w:t xml:space="preserve"> </w:t>
      </w:r>
      <w:r>
        <w:rPr>
          <w:rFonts w:ascii="David" w:eastAsiaTheme="minorHAnsi" w:hAnsi="David"/>
          <w:b/>
          <w:bCs/>
          <w:rtl/>
        </w:rPr>
        <w:t>להסרת</w:t>
      </w:r>
      <w:r>
        <w:rPr>
          <w:rFonts w:ascii="David" w:eastAsiaTheme="minorHAnsi" w:hAnsi="David"/>
          <w:b/>
          <w:bCs/>
        </w:rPr>
        <w:t xml:space="preserve"> </w:t>
      </w:r>
      <w:r>
        <w:rPr>
          <w:rFonts w:ascii="David" w:eastAsiaTheme="minorHAnsi" w:hAnsi="David"/>
          <w:b/>
          <w:bCs/>
          <w:rtl/>
        </w:rPr>
        <w:t>הפיקוח</w:t>
      </w:r>
      <w:r>
        <w:rPr>
          <w:rFonts w:ascii="David" w:eastAsiaTheme="minorHAnsi" w:hAnsi="David"/>
          <w:b/>
          <w:bCs/>
        </w:rPr>
        <w:t xml:space="preserve"> </w:t>
      </w:r>
      <w:r>
        <w:rPr>
          <w:rFonts w:ascii="David" w:eastAsiaTheme="minorHAnsi" w:hAnsi="David"/>
          <w:b/>
          <w:bCs/>
          <w:rtl/>
        </w:rPr>
        <w:t>וכן</w:t>
      </w:r>
      <w:r>
        <w:rPr>
          <w:rFonts w:ascii="David" w:eastAsiaTheme="minorHAnsi" w:hAnsi="David"/>
          <w:b/>
          <w:bCs/>
        </w:rPr>
        <w:t xml:space="preserve"> </w:t>
      </w:r>
      <w:r>
        <w:rPr>
          <w:rFonts w:ascii="David" w:eastAsiaTheme="minorHAnsi" w:hAnsi="David"/>
          <w:b/>
          <w:bCs/>
          <w:rtl/>
        </w:rPr>
        <w:t>אין</w:t>
      </w:r>
      <w:r>
        <w:rPr>
          <w:rFonts w:ascii="David" w:eastAsiaTheme="minorHAnsi" w:hAnsi="David"/>
          <w:b/>
          <w:bCs/>
        </w:rPr>
        <w:t xml:space="preserve"> </w:t>
      </w:r>
      <w:r>
        <w:rPr>
          <w:rFonts w:ascii="David" w:eastAsiaTheme="minorHAnsi" w:hAnsi="David"/>
          <w:b/>
          <w:bCs/>
          <w:rtl/>
        </w:rPr>
        <w:t>מקום</w:t>
      </w:r>
      <w:r>
        <w:rPr>
          <w:rFonts w:ascii="David" w:eastAsiaTheme="minorHAnsi" w:hAnsi="David"/>
          <w:b/>
          <w:bCs/>
        </w:rPr>
        <w:t xml:space="preserve"> </w:t>
      </w:r>
      <w:r>
        <w:rPr>
          <w:rFonts w:ascii="David" w:eastAsiaTheme="minorHAnsi" w:hAnsi="David"/>
          <w:b/>
          <w:bCs/>
          <w:rtl/>
        </w:rPr>
        <w:t>להרחבת</w:t>
      </w:r>
      <w:r>
        <w:rPr>
          <w:rFonts w:ascii="David" w:eastAsiaTheme="minorHAnsi" w:hAnsi="David"/>
          <w:b/>
          <w:bCs/>
        </w:rPr>
        <w:t xml:space="preserve"> </w:t>
      </w:r>
      <w:r>
        <w:rPr>
          <w:rFonts w:ascii="David" w:eastAsiaTheme="minorHAnsi" w:hAnsi="David"/>
          <w:b/>
          <w:bCs/>
          <w:rtl/>
        </w:rPr>
        <w:t>זמני</w:t>
      </w:r>
      <w:r>
        <w:rPr>
          <w:rFonts w:ascii="David" w:eastAsiaTheme="minorHAnsi" w:hAnsi="David"/>
          <w:b/>
          <w:bCs/>
        </w:rPr>
        <w:t xml:space="preserve"> </w:t>
      </w:r>
      <w:r>
        <w:rPr>
          <w:rFonts w:ascii="David" w:eastAsiaTheme="minorHAnsi" w:hAnsi="David"/>
          <w:b/>
          <w:bCs/>
          <w:rtl/>
        </w:rPr>
        <w:t>השהות</w:t>
      </w:r>
      <w:r>
        <w:rPr>
          <w:rFonts w:ascii="David" w:eastAsiaTheme="minorHAnsi" w:hAnsi="David"/>
          <w:b/>
          <w:bCs/>
        </w:rPr>
        <w:t>,</w:t>
      </w:r>
      <w:r>
        <w:rPr>
          <w:rFonts w:ascii="David" w:eastAsiaTheme="minorHAnsi" w:hAnsi="David"/>
          <w:b/>
          <w:bCs/>
          <w:rtl/>
        </w:rPr>
        <w:t xml:space="preserve"> </w:t>
      </w:r>
      <w:r>
        <w:rPr>
          <w:rFonts w:ascii="David" w:eastAsiaTheme="minorHAnsi" w:hAnsi="David" w:hint="cs"/>
          <w:b/>
          <w:bCs/>
          <w:rtl/>
        </w:rPr>
        <w:t>וזאת</w:t>
      </w:r>
      <w:r>
        <w:rPr>
          <w:rFonts w:ascii="David" w:eastAsiaTheme="minorHAnsi" w:hAnsi="David"/>
          <w:b/>
          <w:bCs/>
        </w:rPr>
        <w:t xml:space="preserve"> </w:t>
      </w:r>
      <w:r>
        <w:rPr>
          <w:rFonts w:ascii="David" w:eastAsiaTheme="minorHAnsi" w:hAnsi="David"/>
          <w:b/>
          <w:bCs/>
          <w:rtl/>
        </w:rPr>
        <w:t>הואיל</w:t>
      </w:r>
      <w:r>
        <w:rPr>
          <w:rFonts w:ascii="David" w:eastAsiaTheme="minorHAnsi" w:hAnsi="David"/>
          <w:b/>
          <w:bCs/>
        </w:rPr>
        <w:t xml:space="preserve"> </w:t>
      </w:r>
      <w:r>
        <w:rPr>
          <w:rFonts w:ascii="David" w:eastAsiaTheme="minorHAnsi" w:hAnsi="David"/>
          <w:b/>
          <w:bCs/>
          <w:rtl/>
        </w:rPr>
        <w:t>ועפ</w:t>
      </w:r>
      <w:r>
        <w:rPr>
          <w:rFonts w:ascii="David" w:eastAsiaTheme="minorHAnsi" w:hAnsi="David"/>
          <w:b/>
          <w:bCs/>
        </w:rPr>
        <w:t>"</w:t>
      </w:r>
      <w:r>
        <w:rPr>
          <w:rFonts w:ascii="David" w:eastAsiaTheme="minorHAnsi" w:hAnsi="David"/>
          <w:b/>
          <w:bCs/>
          <w:rtl/>
        </w:rPr>
        <w:t>י</w:t>
      </w:r>
      <w:r>
        <w:rPr>
          <w:rFonts w:ascii="David" w:eastAsiaTheme="minorHAnsi" w:hAnsi="David"/>
          <w:b/>
          <w:bCs/>
        </w:rPr>
        <w:t xml:space="preserve"> </w:t>
      </w:r>
      <w:r>
        <w:rPr>
          <w:rFonts w:ascii="David" w:eastAsiaTheme="minorHAnsi" w:hAnsi="David"/>
          <w:b/>
          <w:bCs/>
          <w:rtl/>
        </w:rPr>
        <w:t>ההערכה</w:t>
      </w:r>
      <w:r>
        <w:rPr>
          <w:rFonts w:ascii="David" w:eastAsiaTheme="minorHAnsi" w:hAnsi="David"/>
          <w:b/>
          <w:bCs/>
        </w:rPr>
        <w:t xml:space="preserve"> </w:t>
      </w:r>
      <w:r>
        <w:rPr>
          <w:rFonts w:ascii="David" w:eastAsiaTheme="minorHAnsi" w:hAnsi="David"/>
          <w:b/>
          <w:bCs/>
          <w:rtl/>
        </w:rPr>
        <w:t>שצורפה,</w:t>
      </w:r>
      <w:r>
        <w:rPr>
          <w:rFonts w:ascii="David" w:eastAsiaTheme="minorHAnsi" w:hAnsi="David"/>
          <w:b/>
          <w:bCs/>
        </w:rPr>
        <w:t xml:space="preserve"> </w:t>
      </w:r>
      <w:r>
        <w:rPr>
          <w:rFonts w:ascii="David" w:eastAsiaTheme="minorHAnsi" w:hAnsi="David"/>
          <w:b/>
          <w:bCs/>
          <w:rtl/>
        </w:rPr>
        <w:t>על</w:t>
      </w:r>
      <w:r>
        <w:rPr>
          <w:rFonts w:ascii="David" w:eastAsiaTheme="minorHAnsi" w:hAnsi="David"/>
          <w:b/>
          <w:bCs/>
        </w:rPr>
        <w:t xml:space="preserve"> </w:t>
      </w:r>
      <w:r>
        <w:rPr>
          <w:rFonts w:ascii="David" w:eastAsiaTheme="minorHAnsi" w:hAnsi="David"/>
          <w:b/>
          <w:bCs/>
          <w:rtl/>
        </w:rPr>
        <w:t>האב</w:t>
      </w:r>
      <w:r>
        <w:rPr>
          <w:rFonts w:ascii="David" w:eastAsiaTheme="minorHAnsi" w:hAnsi="David"/>
          <w:b/>
          <w:bCs/>
        </w:rPr>
        <w:t xml:space="preserve"> </w:t>
      </w:r>
      <w:r>
        <w:rPr>
          <w:rFonts w:ascii="David" w:eastAsiaTheme="minorHAnsi" w:hAnsi="David"/>
          <w:b/>
          <w:bCs/>
          <w:rtl/>
        </w:rPr>
        <w:t>להיות</w:t>
      </w:r>
      <w:r>
        <w:rPr>
          <w:rFonts w:ascii="David" w:eastAsiaTheme="minorHAnsi" w:hAnsi="David"/>
          <w:b/>
          <w:bCs/>
        </w:rPr>
        <w:t xml:space="preserve"> </w:t>
      </w:r>
      <w:r>
        <w:rPr>
          <w:rFonts w:ascii="David" w:eastAsiaTheme="minorHAnsi" w:hAnsi="David"/>
          <w:b/>
          <w:bCs/>
          <w:rtl/>
        </w:rPr>
        <w:t>במעקב</w:t>
      </w:r>
      <w:r>
        <w:rPr>
          <w:rFonts w:ascii="David" w:eastAsiaTheme="minorHAnsi" w:hAnsi="David"/>
          <w:b/>
          <w:bCs/>
        </w:rPr>
        <w:t xml:space="preserve"> </w:t>
      </w:r>
      <w:r>
        <w:rPr>
          <w:rFonts w:ascii="David" w:eastAsiaTheme="minorHAnsi" w:hAnsi="David"/>
          <w:b/>
          <w:bCs/>
          <w:rtl/>
        </w:rPr>
        <w:t>חודשי</w:t>
      </w:r>
      <w:r>
        <w:rPr>
          <w:rFonts w:ascii="David" w:eastAsiaTheme="minorHAnsi" w:hAnsi="David"/>
          <w:b/>
          <w:bCs/>
        </w:rPr>
        <w:t xml:space="preserve"> </w:t>
      </w:r>
      <w:r>
        <w:rPr>
          <w:rFonts w:ascii="David" w:eastAsiaTheme="minorHAnsi" w:hAnsi="David"/>
          <w:b/>
          <w:bCs/>
          <w:rtl/>
        </w:rPr>
        <w:t>כדי לוודא</w:t>
      </w:r>
      <w:r>
        <w:rPr>
          <w:rFonts w:ascii="David" w:eastAsiaTheme="minorHAnsi" w:hAnsi="David"/>
          <w:b/>
          <w:bCs/>
        </w:rPr>
        <w:t xml:space="preserve"> </w:t>
      </w:r>
      <w:r>
        <w:rPr>
          <w:rFonts w:ascii="David" w:eastAsiaTheme="minorHAnsi" w:hAnsi="David"/>
          <w:b/>
          <w:bCs/>
          <w:rtl/>
        </w:rPr>
        <w:t>שמצבו</w:t>
      </w:r>
      <w:r>
        <w:rPr>
          <w:rFonts w:ascii="David" w:eastAsiaTheme="minorHAnsi" w:hAnsi="David"/>
          <w:b/>
          <w:bCs/>
        </w:rPr>
        <w:t xml:space="preserve"> </w:t>
      </w:r>
      <w:r>
        <w:rPr>
          <w:rFonts w:ascii="David" w:eastAsiaTheme="minorHAnsi" w:hAnsi="David"/>
          <w:b/>
          <w:bCs/>
          <w:rtl/>
        </w:rPr>
        <w:t>משתפר,</w:t>
      </w:r>
      <w:r>
        <w:rPr>
          <w:rFonts w:ascii="David" w:eastAsiaTheme="minorHAnsi" w:hAnsi="David"/>
          <w:b/>
          <w:bCs/>
        </w:rPr>
        <w:t xml:space="preserve"> </w:t>
      </w:r>
      <w:r>
        <w:rPr>
          <w:rFonts w:ascii="David" w:eastAsiaTheme="minorHAnsi" w:hAnsi="David"/>
          <w:b/>
          <w:bCs/>
          <w:rtl/>
        </w:rPr>
        <w:t>לטובתו</w:t>
      </w:r>
      <w:r>
        <w:rPr>
          <w:rFonts w:ascii="David" w:eastAsiaTheme="minorHAnsi" w:hAnsi="David"/>
          <w:b/>
          <w:bCs/>
        </w:rPr>
        <w:t xml:space="preserve"> </w:t>
      </w:r>
      <w:r>
        <w:rPr>
          <w:rFonts w:ascii="David" w:eastAsiaTheme="minorHAnsi" w:hAnsi="David"/>
          <w:b/>
          <w:bCs/>
          <w:rtl/>
        </w:rPr>
        <w:t>ולטובת</w:t>
      </w:r>
      <w:r>
        <w:rPr>
          <w:rFonts w:ascii="David" w:eastAsiaTheme="minorHAnsi" w:hAnsi="David"/>
          <w:b/>
          <w:bCs/>
        </w:rPr>
        <w:t xml:space="preserve"> </w:t>
      </w:r>
      <w:r>
        <w:rPr>
          <w:rFonts w:ascii="David" w:eastAsiaTheme="minorHAnsi" w:hAnsi="David"/>
          <w:b/>
          <w:bCs/>
          <w:rtl/>
        </w:rPr>
        <w:t>ילדיו; על</w:t>
      </w:r>
      <w:r>
        <w:rPr>
          <w:rFonts w:ascii="David" w:eastAsiaTheme="minorHAnsi" w:hAnsi="David"/>
          <w:b/>
          <w:bCs/>
        </w:rPr>
        <w:t xml:space="preserve"> </w:t>
      </w:r>
      <w:r>
        <w:rPr>
          <w:rFonts w:ascii="David" w:eastAsiaTheme="minorHAnsi" w:hAnsi="David"/>
          <w:b/>
          <w:bCs/>
          <w:rtl/>
        </w:rPr>
        <w:t>כן,</w:t>
      </w:r>
      <w:r>
        <w:rPr>
          <w:rFonts w:ascii="David" w:eastAsiaTheme="minorHAnsi" w:hAnsi="David"/>
          <w:b/>
          <w:bCs/>
        </w:rPr>
        <w:t xml:space="preserve"> </w:t>
      </w:r>
      <w:r>
        <w:rPr>
          <w:rFonts w:ascii="David" w:eastAsiaTheme="minorHAnsi" w:hAnsi="David"/>
          <w:b/>
          <w:bCs/>
          <w:rtl/>
        </w:rPr>
        <w:t>בית</w:t>
      </w:r>
      <w:r>
        <w:rPr>
          <w:rFonts w:ascii="David" w:eastAsiaTheme="minorHAnsi" w:hAnsi="David"/>
          <w:b/>
          <w:bCs/>
        </w:rPr>
        <w:t xml:space="preserve"> </w:t>
      </w:r>
      <w:r>
        <w:rPr>
          <w:rFonts w:ascii="David" w:eastAsiaTheme="minorHAnsi" w:hAnsi="David"/>
          <w:b/>
          <w:bCs/>
          <w:rtl/>
        </w:rPr>
        <w:t>המשפט</w:t>
      </w:r>
      <w:r>
        <w:rPr>
          <w:rFonts w:ascii="David" w:eastAsiaTheme="minorHAnsi" w:hAnsi="David"/>
          <w:b/>
          <w:bCs/>
        </w:rPr>
        <w:t xml:space="preserve"> </w:t>
      </w:r>
      <w:r>
        <w:rPr>
          <w:rFonts w:ascii="David" w:eastAsiaTheme="minorHAnsi" w:hAnsi="David"/>
          <w:b/>
          <w:bCs/>
          <w:rtl/>
        </w:rPr>
        <w:t>יבקש לקבל</w:t>
      </w:r>
      <w:r>
        <w:rPr>
          <w:rFonts w:ascii="David" w:eastAsiaTheme="minorHAnsi" w:hAnsi="David"/>
          <w:b/>
          <w:bCs/>
        </w:rPr>
        <w:t xml:space="preserve"> – </w:t>
      </w:r>
      <w:r>
        <w:rPr>
          <w:rFonts w:ascii="David" w:eastAsiaTheme="minorHAnsi" w:hAnsi="David"/>
          <w:b/>
          <w:bCs/>
          <w:rtl/>
        </w:rPr>
        <w:t>אחת</w:t>
      </w:r>
      <w:r>
        <w:rPr>
          <w:rFonts w:ascii="David" w:eastAsiaTheme="minorHAnsi" w:hAnsi="David"/>
          <w:b/>
          <w:bCs/>
        </w:rPr>
        <w:t xml:space="preserve"> </w:t>
      </w:r>
      <w:r>
        <w:rPr>
          <w:rFonts w:ascii="David" w:eastAsiaTheme="minorHAnsi" w:hAnsi="David"/>
          <w:b/>
          <w:bCs/>
          <w:rtl/>
        </w:rPr>
        <w:t>לחודש</w:t>
      </w:r>
      <w:r>
        <w:rPr>
          <w:rFonts w:ascii="David" w:eastAsiaTheme="minorHAnsi" w:hAnsi="David"/>
          <w:b/>
          <w:bCs/>
        </w:rPr>
        <w:t xml:space="preserve"> – </w:t>
      </w:r>
      <w:r>
        <w:rPr>
          <w:rFonts w:ascii="David" w:eastAsiaTheme="minorHAnsi" w:hAnsi="David"/>
          <w:b/>
          <w:bCs/>
          <w:rtl/>
        </w:rPr>
        <w:t>החל</w:t>
      </w:r>
      <w:r>
        <w:rPr>
          <w:rFonts w:ascii="David" w:eastAsiaTheme="minorHAnsi" w:hAnsi="David"/>
          <w:b/>
          <w:bCs/>
        </w:rPr>
        <w:t xml:space="preserve"> </w:t>
      </w:r>
      <w:r>
        <w:rPr>
          <w:rFonts w:ascii="David" w:eastAsiaTheme="minorHAnsi" w:hAnsi="David"/>
          <w:b/>
          <w:bCs/>
          <w:rtl/>
        </w:rPr>
        <w:t>מחודש</w:t>
      </w:r>
      <w:r>
        <w:rPr>
          <w:rFonts w:ascii="David" w:eastAsiaTheme="minorHAnsi" w:hAnsi="David"/>
          <w:b/>
          <w:bCs/>
        </w:rPr>
        <w:t xml:space="preserve"> </w:t>
      </w:r>
      <w:r>
        <w:rPr>
          <w:rFonts w:ascii="David" w:eastAsiaTheme="minorHAnsi" w:hAnsi="David"/>
          <w:b/>
          <w:bCs/>
          <w:rtl/>
        </w:rPr>
        <w:t>מאי</w:t>
      </w:r>
      <w:r>
        <w:rPr>
          <w:rFonts w:ascii="David" w:eastAsiaTheme="minorHAnsi" w:hAnsi="David"/>
          <w:b/>
          <w:bCs/>
        </w:rPr>
        <w:t xml:space="preserve"> 2023  </w:t>
      </w:r>
      <w:r>
        <w:rPr>
          <w:rFonts w:ascii="David" w:eastAsiaTheme="minorHAnsi" w:hAnsi="David"/>
          <w:b/>
          <w:bCs/>
          <w:rtl/>
        </w:rPr>
        <w:t>ולמשך</w:t>
      </w:r>
      <w:r>
        <w:rPr>
          <w:rFonts w:ascii="David" w:eastAsiaTheme="minorHAnsi" w:hAnsi="David"/>
          <w:b/>
          <w:bCs/>
        </w:rPr>
        <w:t xml:space="preserve"> </w:t>
      </w:r>
      <w:r>
        <w:rPr>
          <w:rFonts w:ascii="David" w:eastAsiaTheme="minorHAnsi" w:hAnsi="David"/>
          <w:b/>
          <w:bCs/>
          <w:rtl/>
        </w:rPr>
        <w:t>שישה</w:t>
      </w:r>
      <w:r>
        <w:rPr>
          <w:rFonts w:ascii="David" w:eastAsiaTheme="minorHAnsi" w:hAnsi="David"/>
          <w:b/>
          <w:bCs/>
        </w:rPr>
        <w:t xml:space="preserve"> </w:t>
      </w:r>
      <w:r>
        <w:rPr>
          <w:rFonts w:ascii="David" w:eastAsiaTheme="minorHAnsi" w:hAnsi="David"/>
          <w:b/>
          <w:bCs/>
          <w:rtl/>
        </w:rPr>
        <w:t>חודשים לפחות, עדכון</w:t>
      </w:r>
      <w:r>
        <w:rPr>
          <w:rFonts w:ascii="David" w:eastAsiaTheme="minorHAnsi" w:hAnsi="David"/>
          <w:b/>
          <w:bCs/>
        </w:rPr>
        <w:t xml:space="preserve"> </w:t>
      </w:r>
      <w:r>
        <w:rPr>
          <w:rFonts w:ascii="David" w:eastAsiaTheme="minorHAnsi" w:hAnsi="David"/>
          <w:b/>
          <w:bCs/>
          <w:rtl/>
        </w:rPr>
        <w:t>מהפסיכיאטר</w:t>
      </w:r>
      <w:r>
        <w:rPr>
          <w:rFonts w:ascii="David" w:eastAsiaTheme="minorHAnsi" w:hAnsi="David"/>
          <w:b/>
          <w:bCs/>
        </w:rPr>
        <w:t xml:space="preserve"> </w:t>
      </w:r>
      <w:r>
        <w:rPr>
          <w:rFonts w:ascii="David" w:eastAsiaTheme="minorHAnsi" w:hAnsi="David"/>
          <w:b/>
          <w:bCs/>
          <w:rtl/>
        </w:rPr>
        <w:t>המטפל</w:t>
      </w:r>
      <w:r>
        <w:rPr>
          <w:rFonts w:ascii="David" w:eastAsiaTheme="minorHAnsi" w:hAnsi="David"/>
          <w:b/>
          <w:bCs/>
        </w:rPr>
        <w:t xml:space="preserve"> </w:t>
      </w:r>
      <w:r>
        <w:rPr>
          <w:rFonts w:ascii="David" w:eastAsiaTheme="minorHAnsi" w:hAnsi="David"/>
          <w:b/>
          <w:bCs/>
          <w:rtl/>
        </w:rPr>
        <w:t>בדבר</w:t>
      </w:r>
      <w:r>
        <w:rPr>
          <w:rFonts w:ascii="David" w:eastAsiaTheme="minorHAnsi" w:hAnsi="David"/>
          <w:b/>
          <w:bCs/>
        </w:rPr>
        <w:t xml:space="preserve"> </w:t>
      </w:r>
      <w:r>
        <w:rPr>
          <w:rFonts w:ascii="David" w:eastAsiaTheme="minorHAnsi" w:hAnsi="David"/>
          <w:b/>
          <w:bCs/>
          <w:rtl/>
        </w:rPr>
        <w:t>מצבו</w:t>
      </w:r>
      <w:r>
        <w:rPr>
          <w:rFonts w:ascii="David" w:eastAsiaTheme="minorHAnsi" w:hAnsi="David"/>
          <w:b/>
          <w:bCs/>
        </w:rPr>
        <w:t xml:space="preserve"> </w:t>
      </w:r>
      <w:r>
        <w:rPr>
          <w:rFonts w:ascii="David" w:eastAsiaTheme="minorHAnsi" w:hAnsi="David"/>
          <w:b/>
          <w:bCs/>
          <w:rtl/>
        </w:rPr>
        <w:t>של</w:t>
      </w:r>
      <w:r>
        <w:rPr>
          <w:rFonts w:ascii="David" w:eastAsiaTheme="minorHAnsi" w:hAnsi="David"/>
          <w:b/>
          <w:bCs/>
        </w:rPr>
        <w:t xml:space="preserve"> </w:t>
      </w:r>
      <w:r>
        <w:rPr>
          <w:rFonts w:ascii="David" w:eastAsiaTheme="minorHAnsi" w:hAnsi="David"/>
          <w:b/>
          <w:bCs/>
          <w:rtl/>
        </w:rPr>
        <w:t>האב, מוצע שהפגישות</w:t>
      </w:r>
      <w:r>
        <w:rPr>
          <w:rFonts w:ascii="David" w:eastAsiaTheme="minorHAnsi" w:hAnsi="David"/>
          <w:b/>
          <w:bCs/>
        </w:rPr>
        <w:t xml:space="preserve"> </w:t>
      </w:r>
      <w:r>
        <w:rPr>
          <w:rFonts w:ascii="David" w:eastAsiaTheme="minorHAnsi" w:hAnsi="David"/>
          <w:b/>
          <w:bCs/>
          <w:rtl/>
        </w:rPr>
        <w:t>תהיינה</w:t>
      </w:r>
      <w:r>
        <w:rPr>
          <w:rFonts w:ascii="David" w:eastAsiaTheme="minorHAnsi" w:hAnsi="David"/>
          <w:b/>
          <w:bCs/>
        </w:rPr>
        <w:t xml:space="preserve"> </w:t>
      </w:r>
      <w:r>
        <w:rPr>
          <w:rFonts w:ascii="David" w:eastAsiaTheme="minorHAnsi" w:hAnsi="David"/>
          <w:b/>
          <w:bCs/>
          <w:rtl/>
        </w:rPr>
        <w:t>בסוף</w:t>
      </w:r>
      <w:r>
        <w:rPr>
          <w:rFonts w:ascii="David" w:eastAsiaTheme="minorHAnsi" w:hAnsi="David"/>
          <w:b/>
          <w:bCs/>
        </w:rPr>
        <w:t xml:space="preserve"> </w:t>
      </w:r>
      <w:r>
        <w:rPr>
          <w:rFonts w:ascii="David" w:eastAsiaTheme="minorHAnsi" w:hAnsi="David"/>
          <w:b/>
          <w:bCs/>
          <w:rtl/>
        </w:rPr>
        <w:t>כל</w:t>
      </w:r>
      <w:r>
        <w:rPr>
          <w:rFonts w:ascii="David" w:eastAsiaTheme="minorHAnsi" w:hAnsi="David"/>
          <w:b/>
          <w:bCs/>
        </w:rPr>
        <w:t xml:space="preserve"> </w:t>
      </w:r>
      <w:r>
        <w:rPr>
          <w:rFonts w:ascii="David" w:eastAsiaTheme="minorHAnsi" w:hAnsi="David"/>
          <w:b/>
          <w:bCs/>
          <w:rtl/>
        </w:rPr>
        <w:t>חודש</w:t>
      </w:r>
      <w:r>
        <w:rPr>
          <w:rFonts w:ascii="David" w:eastAsiaTheme="minorHAnsi" w:hAnsi="David"/>
          <w:b/>
          <w:bCs/>
        </w:rPr>
        <w:t xml:space="preserve"> </w:t>
      </w:r>
      <w:r>
        <w:rPr>
          <w:rFonts w:ascii="David" w:eastAsiaTheme="minorHAnsi" w:hAnsi="David"/>
          <w:b/>
          <w:bCs/>
          <w:rtl/>
        </w:rPr>
        <w:t>והעדכון</w:t>
      </w:r>
      <w:r>
        <w:rPr>
          <w:rFonts w:ascii="David" w:eastAsiaTheme="minorHAnsi" w:hAnsi="David"/>
          <w:b/>
          <w:bCs/>
        </w:rPr>
        <w:t xml:space="preserve"> </w:t>
      </w:r>
      <w:r>
        <w:rPr>
          <w:rFonts w:ascii="David" w:eastAsiaTheme="minorHAnsi" w:hAnsi="David"/>
          <w:b/>
          <w:bCs/>
          <w:rtl/>
        </w:rPr>
        <w:t>יוגש</w:t>
      </w:r>
      <w:r>
        <w:rPr>
          <w:rFonts w:ascii="David" w:eastAsiaTheme="minorHAnsi" w:hAnsi="David"/>
          <w:b/>
          <w:bCs/>
        </w:rPr>
        <w:t xml:space="preserve"> </w:t>
      </w:r>
      <w:r>
        <w:rPr>
          <w:rFonts w:ascii="David" w:eastAsiaTheme="minorHAnsi" w:hAnsi="David"/>
          <w:b/>
          <w:bCs/>
          <w:rtl/>
        </w:rPr>
        <w:t>בסמוך</w:t>
      </w:r>
      <w:r>
        <w:rPr>
          <w:rFonts w:ascii="David" w:eastAsiaTheme="minorHAnsi" w:hAnsi="David"/>
          <w:b/>
          <w:bCs/>
        </w:rPr>
        <w:t xml:space="preserve"> </w:t>
      </w:r>
      <w:r>
        <w:rPr>
          <w:rFonts w:ascii="David" w:eastAsiaTheme="minorHAnsi" w:hAnsi="David"/>
          <w:b/>
          <w:bCs/>
          <w:rtl/>
        </w:rPr>
        <w:t>לאחר</w:t>
      </w:r>
      <w:r>
        <w:rPr>
          <w:rFonts w:ascii="David" w:eastAsiaTheme="minorHAnsi" w:hAnsi="David"/>
          <w:b/>
          <w:bCs/>
        </w:rPr>
        <w:t xml:space="preserve"> </w:t>
      </w:r>
      <w:r>
        <w:rPr>
          <w:rFonts w:ascii="David" w:eastAsiaTheme="minorHAnsi" w:hAnsi="David"/>
          <w:b/>
          <w:bCs/>
          <w:rtl/>
        </w:rPr>
        <w:t>מכן (ועד ל-1 לכל</w:t>
      </w:r>
      <w:r>
        <w:rPr>
          <w:rFonts w:ascii="David" w:eastAsiaTheme="minorHAnsi" w:hAnsi="David"/>
          <w:b/>
          <w:bCs/>
        </w:rPr>
        <w:t xml:space="preserve"> </w:t>
      </w:r>
      <w:r>
        <w:rPr>
          <w:rFonts w:ascii="David" w:eastAsiaTheme="minorHAnsi" w:hAnsi="David"/>
          <w:b/>
          <w:bCs/>
          <w:rtl/>
        </w:rPr>
        <w:t>חודש</w:t>
      </w:r>
      <w:r>
        <w:rPr>
          <w:rFonts w:ascii="David" w:eastAsiaTheme="minorHAnsi" w:hAnsi="David"/>
          <w:b/>
          <w:bCs/>
        </w:rPr>
        <w:t xml:space="preserve"> </w:t>
      </w:r>
      <w:r>
        <w:rPr>
          <w:rFonts w:ascii="David" w:eastAsiaTheme="minorHAnsi" w:hAnsi="David"/>
          <w:b/>
          <w:bCs/>
          <w:rtl/>
        </w:rPr>
        <w:t>קלנדרי</w:t>
      </w:r>
      <w:r>
        <w:rPr>
          <w:rFonts w:ascii="David" w:eastAsiaTheme="minorHAnsi" w:hAnsi="David"/>
          <w:b/>
          <w:bCs/>
        </w:rPr>
        <w:t xml:space="preserve"> </w:t>
      </w:r>
      <w:r>
        <w:rPr>
          <w:rFonts w:ascii="David" w:eastAsiaTheme="minorHAnsi" w:hAnsi="David"/>
          <w:b/>
          <w:bCs/>
          <w:rtl/>
        </w:rPr>
        <w:t>לאחר מאי 2023) מוצע</w:t>
      </w:r>
      <w:r>
        <w:rPr>
          <w:rFonts w:ascii="David" w:eastAsiaTheme="minorHAnsi" w:hAnsi="David"/>
          <w:b/>
          <w:bCs/>
        </w:rPr>
        <w:t xml:space="preserve"> </w:t>
      </w:r>
      <w:r>
        <w:rPr>
          <w:rFonts w:ascii="David" w:eastAsiaTheme="minorHAnsi" w:hAnsi="David"/>
          <w:b/>
          <w:bCs/>
          <w:rtl/>
        </w:rPr>
        <w:t>שהאב</w:t>
      </w:r>
      <w:r>
        <w:rPr>
          <w:rFonts w:ascii="David" w:eastAsiaTheme="minorHAnsi" w:hAnsi="David"/>
          <w:b/>
          <w:bCs/>
        </w:rPr>
        <w:t xml:space="preserve"> </w:t>
      </w:r>
      <w:r>
        <w:rPr>
          <w:rFonts w:ascii="David" w:eastAsiaTheme="minorHAnsi" w:hAnsi="David"/>
          <w:b/>
          <w:bCs/>
          <w:rtl/>
        </w:rPr>
        <w:t>יערוך</w:t>
      </w:r>
      <w:r>
        <w:rPr>
          <w:rFonts w:ascii="David" w:eastAsiaTheme="minorHAnsi" w:hAnsi="David"/>
          <w:b/>
          <w:bCs/>
        </w:rPr>
        <w:t xml:space="preserve"> </w:t>
      </w:r>
      <w:r>
        <w:rPr>
          <w:rFonts w:ascii="David" w:eastAsiaTheme="minorHAnsi" w:hAnsi="David"/>
          <w:b/>
          <w:bCs/>
          <w:rtl/>
        </w:rPr>
        <w:t>את המעקב</w:t>
      </w:r>
      <w:r>
        <w:rPr>
          <w:rFonts w:ascii="David" w:eastAsiaTheme="minorHAnsi" w:hAnsi="David"/>
          <w:b/>
          <w:bCs/>
        </w:rPr>
        <w:t xml:space="preserve"> </w:t>
      </w:r>
      <w:r>
        <w:rPr>
          <w:rFonts w:ascii="David" w:eastAsiaTheme="minorHAnsi" w:hAnsi="David"/>
          <w:b/>
          <w:bCs/>
          <w:rtl/>
        </w:rPr>
        <w:t>אצל</w:t>
      </w:r>
      <w:r>
        <w:rPr>
          <w:rFonts w:ascii="David" w:eastAsiaTheme="minorHAnsi" w:hAnsi="David"/>
          <w:b/>
          <w:bCs/>
        </w:rPr>
        <w:t xml:space="preserve"> </w:t>
      </w:r>
      <w:r>
        <w:rPr>
          <w:rFonts w:ascii="David" w:eastAsiaTheme="minorHAnsi" w:hAnsi="David"/>
          <w:b/>
          <w:bCs/>
          <w:rtl/>
        </w:rPr>
        <w:t>פסיכיאטר</w:t>
      </w:r>
      <w:r>
        <w:rPr>
          <w:rFonts w:ascii="David" w:eastAsiaTheme="minorHAnsi" w:hAnsi="David"/>
          <w:b/>
          <w:bCs/>
        </w:rPr>
        <w:t xml:space="preserve"> </w:t>
      </w:r>
      <w:r>
        <w:rPr>
          <w:rFonts w:ascii="David" w:eastAsiaTheme="minorHAnsi" w:hAnsi="David"/>
          <w:b/>
          <w:bCs/>
          <w:rtl/>
        </w:rPr>
        <w:t>אחד</w:t>
      </w:r>
      <w:r>
        <w:rPr>
          <w:rFonts w:ascii="David" w:eastAsiaTheme="minorHAnsi" w:hAnsi="David"/>
          <w:b/>
          <w:bCs/>
        </w:rPr>
        <w:t xml:space="preserve">, </w:t>
      </w:r>
      <w:r>
        <w:rPr>
          <w:rFonts w:ascii="David" w:eastAsiaTheme="minorHAnsi" w:hAnsi="David"/>
          <w:b/>
          <w:bCs/>
          <w:rtl/>
        </w:rPr>
        <w:t>כדי</w:t>
      </w:r>
      <w:r>
        <w:rPr>
          <w:rFonts w:ascii="David" w:eastAsiaTheme="minorHAnsi" w:hAnsi="David"/>
          <w:b/>
          <w:bCs/>
        </w:rPr>
        <w:t xml:space="preserve"> </w:t>
      </w:r>
      <w:r>
        <w:rPr>
          <w:rFonts w:ascii="David" w:eastAsiaTheme="minorHAnsi" w:hAnsi="David"/>
          <w:b/>
          <w:bCs/>
          <w:rtl/>
        </w:rPr>
        <w:t>שיהיה</w:t>
      </w:r>
      <w:r>
        <w:rPr>
          <w:rFonts w:ascii="David" w:eastAsiaTheme="minorHAnsi" w:hAnsi="David"/>
          <w:b/>
          <w:bCs/>
        </w:rPr>
        <w:t xml:space="preserve"> </w:t>
      </w:r>
      <w:r>
        <w:rPr>
          <w:rFonts w:ascii="David" w:eastAsiaTheme="minorHAnsi" w:hAnsi="David"/>
          <w:b/>
          <w:bCs/>
          <w:rtl/>
        </w:rPr>
        <w:t>רצף</w:t>
      </w:r>
      <w:r>
        <w:rPr>
          <w:rFonts w:ascii="David" w:eastAsiaTheme="minorHAnsi" w:hAnsi="David"/>
          <w:b/>
          <w:bCs/>
        </w:rPr>
        <w:t xml:space="preserve"> </w:t>
      </w:r>
      <w:r>
        <w:rPr>
          <w:rFonts w:ascii="David" w:eastAsiaTheme="minorHAnsi" w:hAnsi="David"/>
          <w:b/>
          <w:bCs/>
          <w:rtl/>
        </w:rPr>
        <w:t>טיפולי</w:t>
      </w:r>
      <w:r>
        <w:rPr>
          <w:rFonts w:ascii="David" w:eastAsiaTheme="minorHAnsi" w:hAnsi="David"/>
          <w:b/>
          <w:bCs/>
        </w:rPr>
        <w:t xml:space="preserve"> </w:t>
      </w:r>
      <w:r>
        <w:rPr>
          <w:rFonts w:ascii="David" w:eastAsiaTheme="minorHAnsi" w:hAnsi="David"/>
          <w:b/>
          <w:bCs/>
          <w:rtl/>
        </w:rPr>
        <w:t>אחריו</w:t>
      </w:r>
      <w:r>
        <w:rPr>
          <w:rFonts w:ascii="David" w:eastAsiaTheme="minorHAnsi" w:hAnsi="David"/>
          <w:b/>
          <w:bCs/>
        </w:rPr>
        <w:t xml:space="preserve"> </w:t>
      </w:r>
      <w:r>
        <w:rPr>
          <w:rFonts w:ascii="David" w:eastAsiaTheme="minorHAnsi" w:hAnsi="David"/>
          <w:b/>
          <w:bCs/>
          <w:rtl/>
        </w:rPr>
        <w:t>בית</w:t>
      </w:r>
      <w:r>
        <w:rPr>
          <w:rFonts w:ascii="David" w:eastAsiaTheme="minorHAnsi" w:hAnsi="David"/>
          <w:b/>
          <w:bCs/>
        </w:rPr>
        <w:t xml:space="preserve"> </w:t>
      </w:r>
      <w:r>
        <w:rPr>
          <w:rFonts w:ascii="David" w:eastAsiaTheme="minorHAnsi" w:hAnsi="David"/>
          <w:b/>
          <w:bCs/>
          <w:rtl/>
        </w:rPr>
        <w:t>המשפט יכול</w:t>
      </w:r>
      <w:r>
        <w:rPr>
          <w:rFonts w:ascii="David" w:eastAsiaTheme="minorHAnsi" w:hAnsi="David"/>
          <w:b/>
          <w:bCs/>
        </w:rPr>
        <w:t xml:space="preserve"> </w:t>
      </w:r>
      <w:r>
        <w:rPr>
          <w:rFonts w:ascii="David" w:eastAsiaTheme="minorHAnsi" w:hAnsi="David"/>
          <w:b/>
          <w:bCs/>
          <w:rtl/>
        </w:rPr>
        <w:t>לעקוב, ולא</w:t>
      </w:r>
      <w:r>
        <w:rPr>
          <w:rFonts w:ascii="David" w:eastAsiaTheme="minorHAnsi" w:hAnsi="David"/>
          <w:b/>
          <w:bCs/>
        </w:rPr>
        <w:t xml:space="preserve"> </w:t>
      </w:r>
      <w:r>
        <w:rPr>
          <w:rFonts w:ascii="David" w:eastAsiaTheme="minorHAnsi" w:hAnsi="David"/>
          <w:b/>
          <w:bCs/>
          <w:rtl/>
        </w:rPr>
        <w:t>יווצר</w:t>
      </w:r>
      <w:r>
        <w:rPr>
          <w:rFonts w:ascii="David" w:eastAsiaTheme="minorHAnsi" w:hAnsi="David"/>
          <w:b/>
          <w:bCs/>
        </w:rPr>
        <w:t xml:space="preserve"> </w:t>
      </w:r>
      <w:r>
        <w:rPr>
          <w:rFonts w:ascii="David" w:eastAsiaTheme="minorHAnsi" w:hAnsi="David"/>
          <w:b/>
          <w:bCs/>
          <w:rtl/>
        </w:rPr>
        <w:t>מצב</w:t>
      </w:r>
      <w:r>
        <w:rPr>
          <w:rFonts w:ascii="David" w:eastAsiaTheme="minorHAnsi" w:hAnsi="David"/>
          <w:b/>
          <w:bCs/>
        </w:rPr>
        <w:t xml:space="preserve"> </w:t>
      </w:r>
      <w:r>
        <w:rPr>
          <w:rFonts w:ascii="David" w:eastAsiaTheme="minorHAnsi" w:hAnsi="David"/>
          <w:b/>
          <w:bCs/>
          <w:rtl/>
        </w:rPr>
        <w:t>שכל</w:t>
      </w:r>
      <w:r>
        <w:rPr>
          <w:rFonts w:ascii="David" w:eastAsiaTheme="minorHAnsi" w:hAnsi="David"/>
          <w:b/>
          <w:bCs/>
        </w:rPr>
        <w:t xml:space="preserve"> </w:t>
      </w:r>
      <w:r>
        <w:rPr>
          <w:rFonts w:ascii="David" w:eastAsiaTheme="minorHAnsi" w:hAnsi="David"/>
          <w:b/>
          <w:bCs/>
          <w:rtl/>
        </w:rPr>
        <w:t>פסיכיאטר</w:t>
      </w:r>
      <w:r>
        <w:rPr>
          <w:rFonts w:ascii="David" w:eastAsiaTheme="minorHAnsi" w:hAnsi="David"/>
          <w:b/>
          <w:bCs/>
        </w:rPr>
        <w:t xml:space="preserve"> </w:t>
      </w:r>
      <w:r>
        <w:rPr>
          <w:rFonts w:ascii="David" w:eastAsiaTheme="minorHAnsi" w:hAnsi="David"/>
          <w:b/>
          <w:bCs/>
          <w:rtl/>
        </w:rPr>
        <w:t>יכתוב</w:t>
      </w:r>
      <w:r>
        <w:rPr>
          <w:rFonts w:ascii="David" w:eastAsiaTheme="minorHAnsi" w:hAnsi="David"/>
          <w:b/>
          <w:bCs/>
        </w:rPr>
        <w:t xml:space="preserve"> </w:t>
      </w:r>
      <w:r>
        <w:rPr>
          <w:rFonts w:ascii="David" w:eastAsiaTheme="minorHAnsi" w:hAnsi="David"/>
          <w:b/>
          <w:bCs/>
          <w:rtl/>
        </w:rPr>
        <w:t>בכל</w:t>
      </w:r>
      <w:r>
        <w:rPr>
          <w:rFonts w:ascii="David" w:eastAsiaTheme="minorHAnsi" w:hAnsi="David"/>
          <w:b/>
          <w:bCs/>
        </w:rPr>
        <w:t xml:space="preserve"> </w:t>
      </w:r>
      <w:r>
        <w:rPr>
          <w:rFonts w:ascii="David" w:eastAsiaTheme="minorHAnsi" w:hAnsi="David"/>
          <w:b/>
          <w:bCs/>
          <w:rtl/>
        </w:rPr>
        <w:t>חודש</w:t>
      </w:r>
      <w:r>
        <w:rPr>
          <w:rFonts w:ascii="David" w:eastAsiaTheme="minorHAnsi" w:hAnsi="David"/>
          <w:b/>
          <w:bCs/>
        </w:rPr>
        <w:t xml:space="preserve"> </w:t>
      </w:r>
      <w:r>
        <w:rPr>
          <w:rFonts w:ascii="David" w:eastAsiaTheme="minorHAnsi" w:hAnsi="David"/>
          <w:b/>
          <w:bCs/>
          <w:rtl/>
        </w:rPr>
        <w:t>המלצה</w:t>
      </w:r>
      <w:r>
        <w:rPr>
          <w:rFonts w:ascii="David" w:eastAsiaTheme="minorHAnsi" w:hAnsi="David"/>
          <w:b/>
          <w:bCs/>
        </w:rPr>
        <w:t xml:space="preserve"> </w:t>
      </w:r>
      <w:r>
        <w:rPr>
          <w:rFonts w:ascii="David" w:eastAsiaTheme="minorHAnsi" w:hAnsi="David"/>
          <w:b/>
          <w:bCs/>
          <w:rtl/>
        </w:rPr>
        <w:t>שונה</w:t>
      </w:r>
      <w:r>
        <w:rPr>
          <w:rFonts w:ascii="David" w:eastAsiaTheme="minorHAnsi" w:hAnsi="David"/>
          <w:b/>
          <w:bCs/>
        </w:rPr>
        <w:t>,</w:t>
      </w:r>
      <w:r>
        <w:rPr>
          <w:rFonts w:ascii="David" w:eastAsiaTheme="minorHAnsi" w:hAnsi="David"/>
          <w:b/>
          <w:bCs/>
          <w:rtl/>
        </w:rPr>
        <w:t xml:space="preserve"> </w:t>
      </w:r>
      <w:r>
        <w:rPr>
          <w:rFonts w:ascii="David" w:eastAsiaTheme="minorHAnsi" w:hAnsi="David" w:hint="cs"/>
          <w:b/>
          <w:bCs/>
          <w:rtl/>
        </w:rPr>
        <w:t>דבר</w:t>
      </w:r>
      <w:r>
        <w:rPr>
          <w:rFonts w:ascii="David" w:eastAsiaTheme="minorHAnsi" w:hAnsi="David"/>
          <w:b/>
          <w:bCs/>
        </w:rPr>
        <w:t xml:space="preserve"> </w:t>
      </w:r>
      <w:r>
        <w:rPr>
          <w:rFonts w:ascii="David" w:eastAsiaTheme="minorHAnsi" w:hAnsi="David"/>
          <w:b/>
          <w:bCs/>
          <w:rtl/>
        </w:rPr>
        <w:t>שיגרום</w:t>
      </w:r>
      <w:r>
        <w:rPr>
          <w:rFonts w:ascii="David" w:eastAsiaTheme="minorHAnsi" w:hAnsi="David"/>
          <w:b/>
          <w:bCs/>
        </w:rPr>
        <w:t xml:space="preserve"> </w:t>
      </w:r>
      <w:r>
        <w:rPr>
          <w:rFonts w:ascii="David" w:eastAsiaTheme="minorHAnsi" w:hAnsi="David"/>
          <w:b/>
          <w:bCs/>
          <w:rtl/>
        </w:rPr>
        <w:t>להתמשכות</w:t>
      </w:r>
      <w:r>
        <w:rPr>
          <w:rFonts w:ascii="David" w:eastAsiaTheme="minorHAnsi" w:hAnsi="David"/>
          <w:b/>
          <w:bCs/>
        </w:rPr>
        <w:t xml:space="preserve"> </w:t>
      </w:r>
      <w:r>
        <w:rPr>
          <w:rFonts w:ascii="David" w:eastAsiaTheme="minorHAnsi" w:hAnsi="David"/>
          <w:b/>
          <w:bCs/>
          <w:rtl/>
        </w:rPr>
        <w:t>המעקב</w:t>
      </w:r>
      <w:r>
        <w:rPr>
          <w:rFonts w:ascii="David" w:eastAsiaTheme="minorHAnsi" w:hAnsi="David"/>
          <w:b/>
          <w:bCs/>
        </w:rPr>
        <w:t xml:space="preserve"> </w:t>
      </w:r>
      <w:r>
        <w:rPr>
          <w:rFonts w:ascii="David" w:eastAsiaTheme="minorHAnsi" w:hAnsi="David"/>
          <w:b/>
          <w:bCs/>
          <w:rtl/>
        </w:rPr>
        <w:t>שבית</w:t>
      </w:r>
      <w:r>
        <w:rPr>
          <w:rFonts w:ascii="David" w:eastAsiaTheme="minorHAnsi" w:hAnsi="David"/>
          <w:b/>
          <w:bCs/>
        </w:rPr>
        <w:t xml:space="preserve"> </w:t>
      </w:r>
      <w:r>
        <w:rPr>
          <w:rFonts w:ascii="David" w:eastAsiaTheme="minorHAnsi" w:hAnsi="David"/>
          <w:b/>
          <w:bCs/>
          <w:rtl/>
        </w:rPr>
        <w:t>המשפט</w:t>
      </w:r>
      <w:r>
        <w:rPr>
          <w:rFonts w:ascii="David" w:eastAsiaTheme="minorHAnsi" w:hAnsi="David"/>
          <w:b/>
          <w:bCs/>
        </w:rPr>
        <w:t xml:space="preserve"> </w:t>
      </w:r>
      <w:r>
        <w:rPr>
          <w:rFonts w:ascii="David" w:eastAsiaTheme="minorHAnsi" w:hAnsi="David"/>
          <w:b/>
          <w:bCs/>
          <w:rtl/>
        </w:rPr>
        <w:t>יבקש</w:t>
      </w:r>
      <w:r>
        <w:rPr>
          <w:rFonts w:ascii="David" w:eastAsiaTheme="minorHAnsi" w:hAnsi="David"/>
          <w:b/>
          <w:bCs/>
        </w:rPr>
        <w:t xml:space="preserve"> </w:t>
      </w:r>
      <w:r>
        <w:rPr>
          <w:rFonts w:ascii="David" w:eastAsiaTheme="minorHAnsi" w:hAnsi="David"/>
          <w:b/>
          <w:bCs/>
          <w:rtl/>
        </w:rPr>
        <w:t>לערוך</w:t>
      </w:r>
      <w:r>
        <w:rPr>
          <w:rFonts w:ascii="David" w:eastAsiaTheme="minorHAnsi" w:hAnsi="David"/>
          <w:b/>
          <w:bCs/>
        </w:rPr>
        <w:t xml:space="preserve"> </w:t>
      </w:r>
      <w:r>
        <w:rPr>
          <w:rFonts w:ascii="David" w:eastAsiaTheme="minorHAnsi" w:hAnsi="David"/>
          <w:b/>
          <w:bCs/>
          <w:rtl/>
        </w:rPr>
        <w:t>בטרם</w:t>
      </w:r>
      <w:r>
        <w:rPr>
          <w:rFonts w:ascii="David" w:eastAsiaTheme="minorHAnsi" w:hAnsi="David"/>
          <w:b/>
          <w:bCs/>
        </w:rPr>
        <w:t xml:space="preserve"> </w:t>
      </w:r>
      <w:r>
        <w:rPr>
          <w:rFonts w:ascii="David" w:eastAsiaTheme="minorHAnsi" w:hAnsi="David"/>
          <w:b/>
          <w:bCs/>
          <w:rtl/>
        </w:rPr>
        <w:t>ישקול הסרת</w:t>
      </w:r>
      <w:r>
        <w:rPr>
          <w:rFonts w:ascii="David" w:eastAsiaTheme="minorHAnsi" w:hAnsi="David"/>
          <w:b/>
          <w:bCs/>
        </w:rPr>
        <w:t xml:space="preserve"> </w:t>
      </w:r>
      <w:r>
        <w:rPr>
          <w:rFonts w:ascii="David" w:eastAsiaTheme="minorHAnsi" w:hAnsi="David"/>
          <w:b/>
          <w:bCs/>
          <w:rtl/>
        </w:rPr>
        <w:t>הפיקוח</w:t>
      </w:r>
      <w:r>
        <w:rPr>
          <w:rFonts w:ascii="David" w:eastAsiaTheme="minorHAnsi" w:hAnsi="David"/>
          <w:b/>
          <w:bCs/>
        </w:rPr>
        <w:t xml:space="preserve"> </w:t>
      </w:r>
      <w:r>
        <w:rPr>
          <w:rFonts w:ascii="David" w:eastAsiaTheme="minorHAnsi" w:hAnsi="David"/>
          <w:b/>
          <w:bCs/>
          <w:rtl/>
        </w:rPr>
        <w:t>או</w:t>
      </w:r>
      <w:r>
        <w:rPr>
          <w:rFonts w:ascii="David" w:eastAsiaTheme="minorHAnsi" w:hAnsi="David"/>
          <w:b/>
          <w:bCs/>
        </w:rPr>
        <w:t xml:space="preserve"> </w:t>
      </w:r>
      <w:r>
        <w:rPr>
          <w:rFonts w:ascii="David" w:eastAsiaTheme="minorHAnsi" w:hAnsi="David"/>
          <w:b/>
          <w:bCs/>
          <w:rtl/>
        </w:rPr>
        <w:t>הרחבת</w:t>
      </w:r>
      <w:r>
        <w:rPr>
          <w:rFonts w:ascii="David" w:eastAsiaTheme="minorHAnsi" w:hAnsi="David"/>
          <w:b/>
          <w:bCs/>
        </w:rPr>
        <w:t xml:space="preserve"> </w:t>
      </w:r>
      <w:r>
        <w:rPr>
          <w:rFonts w:ascii="David" w:eastAsiaTheme="minorHAnsi" w:hAnsi="David"/>
          <w:b/>
          <w:bCs/>
          <w:rtl/>
        </w:rPr>
        <w:t>זמני</w:t>
      </w:r>
      <w:r>
        <w:rPr>
          <w:rFonts w:ascii="David" w:eastAsiaTheme="minorHAnsi" w:hAnsi="David"/>
          <w:b/>
          <w:bCs/>
        </w:rPr>
        <w:t xml:space="preserve"> </w:t>
      </w:r>
      <w:r>
        <w:rPr>
          <w:rFonts w:ascii="David" w:eastAsiaTheme="minorHAnsi" w:hAnsi="David"/>
          <w:b/>
          <w:bCs/>
          <w:rtl/>
        </w:rPr>
        <w:t>השהות</w:t>
      </w:r>
      <w:r>
        <w:rPr>
          <w:rFonts w:ascii="David" w:eastAsiaTheme="minorHAnsi" w:hAnsi="David"/>
          <w:b/>
          <w:bCs/>
        </w:rPr>
        <w:t>.</w:t>
      </w:r>
    </w:p>
    <w:p w:rsidR="00301308" w:rsidRDefault="00301308" w:rsidP="00301308">
      <w:pPr>
        <w:spacing w:after="120" w:line="360" w:lineRule="auto"/>
        <w:ind w:left="1287" w:right="567" w:hanging="720"/>
        <w:jc w:val="both"/>
        <w:rPr>
          <w:rFonts w:ascii="David" w:hAnsi="David"/>
          <w:b/>
          <w:bCs/>
          <w:rtl/>
        </w:rPr>
      </w:pPr>
      <w:r>
        <w:rPr>
          <w:rFonts w:ascii="David" w:hAnsi="David"/>
          <w:b/>
          <w:bCs/>
          <w:rtl/>
        </w:rPr>
        <w:tab/>
      </w:r>
      <w:r>
        <w:rPr>
          <w:rFonts w:ascii="David" w:eastAsiaTheme="minorHAnsi" w:hAnsi="David"/>
          <w:b/>
          <w:bCs/>
          <w:rtl/>
        </w:rPr>
        <w:t>בית</w:t>
      </w:r>
      <w:r>
        <w:rPr>
          <w:rFonts w:ascii="David" w:eastAsiaTheme="minorHAnsi" w:hAnsi="David"/>
          <w:b/>
          <w:bCs/>
        </w:rPr>
        <w:t xml:space="preserve"> </w:t>
      </w:r>
      <w:r>
        <w:rPr>
          <w:rFonts w:ascii="David" w:eastAsiaTheme="minorHAnsi" w:hAnsi="David"/>
          <w:b/>
          <w:bCs/>
          <w:rtl/>
        </w:rPr>
        <w:t>המשפט</w:t>
      </w:r>
      <w:r>
        <w:rPr>
          <w:rFonts w:ascii="David" w:eastAsiaTheme="minorHAnsi" w:hAnsi="David"/>
          <w:b/>
          <w:bCs/>
        </w:rPr>
        <w:t xml:space="preserve"> </w:t>
      </w:r>
      <w:r>
        <w:rPr>
          <w:rFonts w:ascii="David" w:eastAsiaTheme="minorHAnsi" w:hAnsi="David"/>
          <w:b/>
          <w:bCs/>
          <w:rtl/>
        </w:rPr>
        <w:t>ישוב</w:t>
      </w:r>
      <w:r>
        <w:rPr>
          <w:rFonts w:ascii="David" w:eastAsiaTheme="minorHAnsi" w:hAnsi="David"/>
          <w:b/>
          <w:bCs/>
        </w:rPr>
        <w:t xml:space="preserve"> </w:t>
      </w:r>
      <w:r>
        <w:rPr>
          <w:rFonts w:ascii="David" w:eastAsiaTheme="minorHAnsi" w:hAnsi="David"/>
          <w:b/>
          <w:bCs/>
          <w:rtl/>
        </w:rPr>
        <w:t>וידגיש</w:t>
      </w:r>
      <w:r>
        <w:rPr>
          <w:rFonts w:ascii="David" w:eastAsiaTheme="minorHAnsi" w:hAnsi="David"/>
          <w:b/>
          <w:bCs/>
        </w:rPr>
        <w:t xml:space="preserve"> </w:t>
      </w:r>
      <w:r>
        <w:rPr>
          <w:rFonts w:ascii="David" w:eastAsiaTheme="minorHAnsi" w:hAnsi="David"/>
          <w:b/>
          <w:bCs/>
          <w:rtl/>
        </w:rPr>
        <w:t>בפני</w:t>
      </w:r>
      <w:r>
        <w:rPr>
          <w:rFonts w:ascii="David" w:eastAsiaTheme="minorHAnsi" w:hAnsi="David"/>
          <w:b/>
          <w:bCs/>
        </w:rPr>
        <w:t xml:space="preserve"> </w:t>
      </w:r>
      <w:r>
        <w:rPr>
          <w:rFonts w:ascii="David" w:eastAsiaTheme="minorHAnsi" w:hAnsi="David"/>
          <w:b/>
          <w:bCs/>
          <w:rtl/>
        </w:rPr>
        <w:t>ההורים</w:t>
      </w:r>
      <w:r>
        <w:rPr>
          <w:rFonts w:ascii="David" w:eastAsiaTheme="minorHAnsi" w:hAnsi="David"/>
          <w:b/>
          <w:bCs/>
        </w:rPr>
        <w:t xml:space="preserve"> ,</w:t>
      </w:r>
      <w:r>
        <w:rPr>
          <w:rFonts w:ascii="David" w:eastAsiaTheme="minorHAnsi" w:hAnsi="David"/>
          <w:b/>
          <w:bCs/>
          <w:rtl/>
        </w:rPr>
        <w:t>כי</w:t>
      </w:r>
      <w:r>
        <w:rPr>
          <w:rFonts w:ascii="David" w:eastAsiaTheme="minorHAnsi" w:hAnsi="David"/>
          <w:b/>
          <w:bCs/>
        </w:rPr>
        <w:t xml:space="preserve"> </w:t>
      </w:r>
      <w:r>
        <w:rPr>
          <w:rFonts w:ascii="David" w:eastAsiaTheme="minorHAnsi" w:hAnsi="David"/>
          <w:b/>
          <w:bCs/>
          <w:rtl/>
        </w:rPr>
        <w:t>היעד</w:t>
      </w:r>
      <w:r>
        <w:rPr>
          <w:rFonts w:ascii="David" w:eastAsiaTheme="minorHAnsi" w:hAnsi="David"/>
          <w:b/>
          <w:bCs/>
        </w:rPr>
        <w:t xml:space="preserve"> </w:t>
      </w:r>
      <w:r>
        <w:rPr>
          <w:rFonts w:ascii="David" w:eastAsiaTheme="minorHAnsi" w:hAnsi="David"/>
          <w:b/>
          <w:bCs/>
          <w:rtl/>
        </w:rPr>
        <w:t>של</w:t>
      </w:r>
      <w:r>
        <w:rPr>
          <w:rFonts w:ascii="David" w:eastAsiaTheme="minorHAnsi" w:hAnsi="David"/>
          <w:b/>
          <w:bCs/>
        </w:rPr>
        <w:t xml:space="preserve"> </w:t>
      </w:r>
      <w:r>
        <w:rPr>
          <w:rFonts w:ascii="David" w:eastAsiaTheme="minorHAnsi" w:hAnsi="David"/>
          <w:b/>
          <w:bCs/>
          <w:rtl/>
        </w:rPr>
        <w:t>המשפחה, ושל</w:t>
      </w:r>
      <w:r>
        <w:rPr>
          <w:rFonts w:ascii="David" w:eastAsiaTheme="minorHAnsi" w:hAnsi="David"/>
          <w:b/>
          <w:bCs/>
        </w:rPr>
        <w:t xml:space="preserve"> </w:t>
      </w:r>
      <w:r>
        <w:rPr>
          <w:rFonts w:ascii="David" w:eastAsiaTheme="minorHAnsi" w:hAnsi="David"/>
          <w:b/>
          <w:bCs/>
          <w:rtl/>
        </w:rPr>
        <w:t>בית המשפט</w:t>
      </w:r>
      <w:r>
        <w:rPr>
          <w:rFonts w:ascii="David" w:eastAsiaTheme="minorHAnsi" w:hAnsi="David"/>
          <w:b/>
          <w:bCs/>
        </w:rPr>
        <w:t xml:space="preserve"> </w:t>
      </w:r>
      <w:r>
        <w:rPr>
          <w:rFonts w:ascii="David" w:eastAsiaTheme="minorHAnsi" w:hAnsi="David"/>
          <w:b/>
          <w:bCs/>
          <w:rtl/>
        </w:rPr>
        <w:t>כתוצאה</w:t>
      </w:r>
      <w:r>
        <w:rPr>
          <w:rFonts w:ascii="David" w:eastAsiaTheme="minorHAnsi" w:hAnsi="David"/>
          <w:b/>
          <w:bCs/>
        </w:rPr>
        <w:t xml:space="preserve"> </w:t>
      </w:r>
      <w:r>
        <w:rPr>
          <w:rFonts w:ascii="David" w:eastAsiaTheme="minorHAnsi" w:hAnsi="David"/>
          <w:b/>
          <w:bCs/>
          <w:rtl/>
        </w:rPr>
        <w:t>מכך</w:t>
      </w:r>
      <w:r>
        <w:rPr>
          <w:rFonts w:ascii="David" w:eastAsiaTheme="minorHAnsi" w:hAnsi="David"/>
          <w:b/>
          <w:bCs/>
        </w:rPr>
        <w:t xml:space="preserve"> – </w:t>
      </w:r>
      <w:r>
        <w:rPr>
          <w:rFonts w:ascii="David" w:eastAsiaTheme="minorHAnsi" w:hAnsi="David"/>
          <w:b/>
          <w:bCs/>
          <w:rtl/>
        </w:rPr>
        <w:t>הינו</w:t>
      </w:r>
      <w:r>
        <w:rPr>
          <w:rFonts w:ascii="David" w:eastAsiaTheme="minorHAnsi" w:hAnsi="David"/>
          <w:b/>
          <w:bCs/>
        </w:rPr>
        <w:t xml:space="preserve"> </w:t>
      </w:r>
      <w:r>
        <w:rPr>
          <w:rFonts w:ascii="David" w:eastAsiaTheme="minorHAnsi" w:hAnsi="David"/>
          <w:b/>
          <w:bCs/>
          <w:rtl/>
        </w:rPr>
        <w:t>להרחבת</w:t>
      </w:r>
      <w:r>
        <w:rPr>
          <w:rFonts w:ascii="David" w:eastAsiaTheme="minorHAnsi" w:hAnsi="David"/>
          <w:b/>
          <w:bCs/>
        </w:rPr>
        <w:t xml:space="preserve"> </w:t>
      </w:r>
      <w:r>
        <w:rPr>
          <w:rFonts w:ascii="David" w:eastAsiaTheme="minorHAnsi" w:hAnsi="David"/>
          <w:b/>
          <w:bCs/>
          <w:rtl/>
        </w:rPr>
        <w:t>זמני</w:t>
      </w:r>
      <w:r>
        <w:rPr>
          <w:rFonts w:ascii="David" w:eastAsiaTheme="minorHAnsi" w:hAnsi="David"/>
          <w:b/>
          <w:bCs/>
        </w:rPr>
        <w:t xml:space="preserve"> </w:t>
      </w:r>
      <w:r>
        <w:rPr>
          <w:rFonts w:ascii="David" w:eastAsiaTheme="minorHAnsi" w:hAnsi="David"/>
          <w:b/>
          <w:bCs/>
          <w:rtl/>
        </w:rPr>
        <w:t>השהות</w:t>
      </w:r>
      <w:r>
        <w:rPr>
          <w:rFonts w:ascii="David" w:eastAsiaTheme="minorHAnsi" w:hAnsi="David"/>
          <w:b/>
          <w:bCs/>
        </w:rPr>
        <w:t xml:space="preserve"> </w:t>
      </w:r>
      <w:r>
        <w:rPr>
          <w:rFonts w:ascii="David" w:eastAsiaTheme="minorHAnsi" w:hAnsi="David"/>
          <w:b/>
          <w:bCs/>
          <w:rtl/>
        </w:rPr>
        <w:t>ולא</w:t>
      </w:r>
      <w:r>
        <w:rPr>
          <w:rFonts w:ascii="David" w:eastAsiaTheme="minorHAnsi" w:hAnsi="David"/>
          <w:b/>
          <w:bCs/>
        </w:rPr>
        <w:t xml:space="preserve"> </w:t>
      </w:r>
      <w:r>
        <w:rPr>
          <w:rFonts w:ascii="David" w:eastAsiaTheme="minorHAnsi" w:hAnsi="David"/>
          <w:b/>
          <w:bCs/>
          <w:rtl/>
        </w:rPr>
        <w:t>להותרתם במסגרת</w:t>
      </w:r>
      <w:r>
        <w:rPr>
          <w:rFonts w:ascii="David" w:eastAsiaTheme="minorHAnsi" w:hAnsi="David"/>
          <w:b/>
          <w:bCs/>
        </w:rPr>
        <w:t xml:space="preserve"> </w:t>
      </w:r>
      <w:r>
        <w:rPr>
          <w:rFonts w:ascii="David" w:eastAsiaTheme="minorHAnsi" w:hAnsi="David"/>
          <w:b/>
          <w:bCs/>
          <w:rtl/>
        </w:rPr>
        <w:t>המצומצמת</w:t>
      </w:r>
      <w:r>
        <w:rPr>
          <w:rFonts w:ascii="David" w:eastAsiaTheme="minorHAnsi" w:hAnsi="David"/>
          <w:b/>
          <w:bCs/>
        </w:rPr>
        <w:t xml:space="preserve"> </w:t>
      </w:r>
      <w:r>
        <w:rPr>
          <w:rFonts w:ascii="David" w:eastAsiaTheme="minorHAnsi" w:hAnsi="David"/>
          <w:b/>
          <w:bCs/>
          <w:rtl/>
        </w:rPr>
        <w:t>שהם</w:t>
      </w:r>
      <w:r>
        <w:rPr>
          <w:rFonts w:ascii="David" w:eastAsiaTheme="minorHAnsi" w:hAnsi="David"/>
          <w:b/>
          <w:bCs/>
        </w:rPr>
        <w:t xml:space="preserve"> </w:t>
      </w:r>
      <w:r>
        <w:rPr>
          <w:rFonts w:ascii="David" w:eastAsiaTheme="minorHAnsi" w:hAnsi="David"/>
          <w:b/>
          <w:bCs/>
          <w:rtl/>
        </w:rPr>
        <w:t>כיום</w:t>
      </w:r>
      <w:r>
        <w:rPr>
          <w:rFonts w:ascii="David" w:eastAsiaTheme="minorHAnsi" w:hAnsi="David"/>
          <w:b/>
          <w:bCs/>
        </w:rPr>
        <w:t xml:space="preserve">. </w:t>
      </w:r>
      <w:r>
        <w:rPr>
          <w:rFonts w:ascii="David" w:eastAsiaTheme="minorHAnsi" w:hAnsi="David"/>
          <w:b/>
          <w:bCs/>
          <w:rtl/>
        </w:rPr>
        <w:t xml:space="preserve"> </w:t>
      </w:r>
      <w:r>
        <w:rPr>
          <w:rFonts w:ascii="David" w:eastAsiaTheme="minorHAnsi" w:hAnsi="David" w:hint="cs"/>
          <w:b/>
          <w:bCs/>
          <w:rtl/>
        </w:rPr>
        <w:t>יחד</w:t>
      </w:r>
      <w:r>
        <w:rPr>
          <w:rFonts w:ascii="David" w:eastAsiaTheme="minorHAnsi" w:hAnsi="David"/>
          <w:b/>
          <w:bCs/>
        </w:rPr>
        <w:t xml:space="preserve"> </w:t>
      </w:r>
      <w:r>
        <w:rPr>
          <w:rFonts w:ascii="David" w:eastAsiaTheme="minorHAnsi" w:hAnsi="David"/>
          <w:b/>
          <w:bCs/>
          <w:rtl/>
        </w:rPr>
        <w:t>עם</w:t>
      </w:r>
      <w:r>
        <w:rPr>
          <w:rFonts w:ascii="David" w:eastAsiaTheme="minorHAnsi" w:hAnsi="David"/>
          <w:b/>
          <w:bCs/>
        </w:rPr>
        <w:t xml:space="preserve"> </w:t>
      </w:r>
      <w:r>
        <w:rPr>
          <w:rFonts w:ascii="David" w:eastAsiaTheme="minorHAnsi" w:hAnsi="David"/>
          <w:b/>
          <w:bCs/>
          <w:rtl/>
        </w:rPr>
        <w:t>זאת,</w:t>
      </w:r>
      <w:r>
        <w:rPr>
          <w:rFonts w:ascii="David" w:eastAsiaTheme="minorHAnsi" w:hAnsi="David"/>
          <w:b/>
          <w:bCs/>
        </w:rPr>
        <w:t xml:space="preserve"> </w:t>
      </w:r>
      <w:r>
        <w:rPr>
          <w:rFonts w:ascii="David" w:eastAsiaTheme="minorHAnsi" w:hAnsi="David"/>
          <w:b/>
          <w:bCs/>
          <w:rtl/>
        </w:rPr>
        <w:t>הדברים</w:t>
      </w:r>
      <w:r>
        <w:rPr>
          <w:rFonts w:ascii="David" w:eastAsiaTheme="minorHAnsi" w:hAnsi="David"/>
          <w:b/>
          <w:bCs/>
        </w:rPr>
        <w:t xml:space="preserve"> </w:t>
      </w:r>
      <w:r>
        <w:rPr>
          <w:rFonts w:ascii="David" w:eastAsiaTheme="minorHAnsi" w:hAnsi="David"/>
          <w:b/>
          <w:bCs/>
          <w:rtl/>
        </w:rPr>
        <w:t>בידיו</w:t>
      </w:r>
      <w:r>
        <w:rPr>
          <w:rFonts w:ascii="David" w:eastAsiaTheme="minorHAnsi" w:hAnsi="David"/>
          <w:b/>
          <w:bCs/>
        </w:rPr>
        <w:t xml:space="preserve"> </w:t>
      </w:r>
      <w:r>
        <w:rPr>
          <w:rFonts w:ascii="David" w:eastAsiaTheme="minorHAnsi" w:hAnsi="David"/>
          <w:b/>
          <w:bCs/>
          <w:rtl/>
        </w:rPr>
        <w:t>של</w:t>
      </w:r>
      <w:r>
        <w:rPr>
          <w:rFonts w:ascii="David" w:eastAsiaTheme="minorHAnsi" w:hAnsi="David"/>
          <w:b/>
          <w:bCs/>
        </w:rPr>
        <w:t xml:space="preserve"> </w:t>
      </w:r>
      <w:r>
        <w:rPr>
          <w:rFonts w:ascii="David" w:eastAsiaTheme="minorHAnsi" w:hAnsi="David"/>
          <w:b/>
          <w:bCs/>
          <w:rtl/>
        </w:rPr>
        <w:t>האב</w:t>
      </w:r>
      <w:r>
        <w:rPr>
          <w:rFonts w:ascii="David" w:eastAsiaTheme="minorHAnsi" w:hAnsi="David"/>
          <w:b/>
          <w:bCs/>
        </w:rPr>
        <w:t>,</w:t>
      </w:r>
      <w:r>
        <w:rPr>
          <w:rFonts w:ascii="David" w:eastAsiaTheme="minorHAnsi" w:hAnsi="David"/>
          <w:b/>
          <w:bCs/>
          <w:rtl/>
        </w:rPr>
        <w:t xml:space="preserve"> </w:t>
      </w:r>
      <w:r>
        <w:rPr>
          <w:rFonts w:ascii="David" w:eastAsiaTheme="minorHAnsi" w:hAnsi="David" w:hint="cs"/>
          <w:b/>
          <w:bCs/>
          <w:rtl/>
        </w:rPr>
        <w:t>ועליו</w:t>
      </w:r>
      <w:r>
        <w:rPr>
          <w:rFonts w:ascii="David" w:eastAsiaTheme="minorHAnsi" w:hAnsi="David"/>
          <w:b/>
          <w:bCs/>
        </w:rPr>
        <w:t xml:space="preserve"> </w:t>
      </w:r>
      <w:r>
        <w:rPr>
          <w:rFonts w:ascii="David" w:eastAsiaTheme="minorHAnsi" w:hAnsi="David"/>
          <w:b/>
          <w:bCs/>
          <w:rtl/>
        </w:rPr>
        <w:t>לטפל</w:t>
      </w:r>
      <w:r>
        <w:rPr>
          <w:rFonts w:ascii="David" w:eastAsiaTheme="minorHAnsi" w:hAnsi="David"/>
          <w:b/>
          <w:bCs/>
        </w:rPr>
        <w:t xml:space="preserve"> </w:t>
      </w:r>
      <w:r>
        <w:rPr>
          <w:rFonts w:ascii="David" w:eastAsiaTheme="minorHAnsi" w:hAnsi="David"/>
          <w:b/>
          <w:bCs/>
          <w:rtl/>
        </w:rPr>
        <w:t>בעצמו</w:t>
      </w:r>
      <w:r>
        <w:rPr>
          <w:rFonts w:ascii="David" w:eastAsiaTheme="minorHAnsi" w:hAnsi="David"/>
          <w:b/>
          <w:bCs/>
        </w:rPr>
        <w:t xml:space="preserve"> </w:t>
      </w:r>
      <w:r>
        <w:rPr>
          <w:rFonts w:ascii="David" w:eastAsiaTheme="minorHAnsi" w:hAnsi="David"/>
          <w:b/>
          <w:bCs/>
          <w:rtl/>
        </w:rPr>
        <w:t>קודם</w:t>
      </w:r>
      <w:r>
        <w:rPr>
          <w:rFonts w:ascii="David" w:eastAsiaTheme="minorHAnsi" w:hAnsi="David"/>
          <w:b/>
          <w:bCs/>
        </w:rPr>
        <w:t xml:space="preserve"> </w:t>
      </w:r>
      <w:r>
        <w:rPr>
          <w:rFonts w:ascii="David" w:eastAsiaTheme="minorHAnsi" w:hAnsi="David"/>
          <w:b/>
          <w:bCs/>
          <w:rtl/>
        </w:rPr>
        <w:t>כל</w:t>
      </w:r>
      <w:r>
        <w:rPr>
          <w:rFonts w:ascii="David" w:eastAsiaTheme="minorHAnsi" w:hAnsi="David"/>
          <w:b/>
          <w:bCs/>
        </w:rPr>
        <w:t xml:space="preserve"> </w:t>
      </w:r>
      <w:r>
        <w:rPr>
          <w:rFonts w:ascii="David" w:eastAsiaTheme="minorHAnsi" w:hAnsi="David"/>
          <w:b/>
          <w:bCs/>
          <w:rtl/>
        </w:rPr>
        <w:t>עבור</w:t>
      </w:r>
      <w:r>
        <w:rPr>
          <w:rFonts w:ascii="David" w:eastAsiaTheme="minorHAnsi" w:hAnsi="David"/>
          <w:b/>
          <w:bCs/>
        </w:rPr>
        <w:t xml:space="preserve"> </w:t>
      </w:r>
      <w:r>
        <w:rPr>
          <w:rFonts w:ascii="David" w:eastAsiaTheme="minorHAnsi" w:hAnsi="David"/>
          <w:b/>
          <w:bCs/>
          <w:rtl/>
        </w:rPr>
        <w:t>עצמו</w:t>
      </w:r>
      <w:r>
        <w:rPr>
          <w:rFonts w:ascii="David" w:eastAsiaTheme="minorHAnsi" w:hAnsi="David"/>
          <w:b/>
          <w:bCs/>
        </w:rPr>
        <w:t xml:space="preserve"> </w:t>
      </w:r>
      <w:r>
        <w:rPr>
          <w:rFonts w:ascii="David" w:eastAsiaTheme="minorHAnsi" w:hAnsi="David"/>
          <w:b/>
          <w:bCs/>
          <w:rtl/>
        </w:rPr>
        <w:t>וכן</w:t>
      </w:r>
      <w:r>
        <w:rPr>
          <w:rFonts w:ascii="David" w:eastAsiaTheme="minorHAnsi" w:hAnsi="David"/>
          <w:b/>
          <w:bCs/>
        </w:rPr>
        <w:t xml:space="preserve"> </w:t>
      </w:r>
      <w:r>
        <w:rPr>
          <w:rFonts w:ascii="David" w:eastAsiaTheme="minorHAnsi" w:hAnsi="David"/>
          <w:b/>
          <w:bCs/>
          <w:rtl/>
        </w:rPr>
        <w:t>עבור</w:t>
      </w:r>
      <w:r>
        <w:rPr>
          <w:rFonts w:ascii="David" w:eastAsiaTheme="minorHAnsi" w:hAnsi="David"/>
          <w:b/>
          <w:bCs/>
        </w:rPr>
        <w:t xml:space="preserve"> </w:t>
      </w:r>
      <w:r>
        <w:rPr>
          <w:rFonts w:ascii="David" w:eastAsiaTheme="minorHAnsi" w:hAnsi="David"/>
          <w:b/>
          <w:bCs/>
          <w:rtl/>
        </w:rPr>
        <w:t>ילדיו. מדובר</w:t>
      </w:r>
      <w:r>
        <w:rPr>
          <w:rFonts w:ascii="David" w:eastAsiaTheme="minorHAnsi" w:hAnsi="David"/>
          <w:b/>
          <w:bCs/>
        </w:rPr>
        <w:t xml:space="preserve"> </w:t>
      </w:r>
      <w:r>
        <w:rPr>
          <w:rFonts w:ascii="David" w:eastAsiaTheme="minorHAnsi" w:hAnsi="David"/>
          <w:b/>
          <w:bCs/>
          <w:rtl/>
        </w:rPr>
        <w:t>בילדים</w:t>
      </w:r>
      <w:r>
        <w:rPr>
          <w:rFonts w:ascii="David" w:eastAsiaTheme="minorHAnsi" w:hAnsi="David"/>
          <w:b/>
          <w:bCs/>
        </w:rPr>
        <w:t xml:space="preserve"> </w:t>
      </w:r>
      <w:r>
        <w:rPr>
          <w:rFonts w:ascii="David" w:eastAsiaTheme="minorHAnsi" w:hAnsi="David"/>
          <w:b/>
          <w:bCs/>
          <w:rtl/>
        </w:rPr>
        <w:t>רכים מאד, החיים</w:t>
      </w:r>
      <w:r>
        <w:rPr>
          <w:rFonts w:ascii="David" w:eastAsiaTheme="minorHAnsi" w:hAnsi="David"/>
          <w:b/>
          <w:bCs/>
        </w:rPr>
        <w:t xml:space="preserve"> </w:t>
      </w:r>
      <w:r>
        <w:rPr>
          <w:rFonts w:ascii="David" w:eastAsiaTheme="minorHAnsi" w:hAnsi="David"/>
          <w:b/>
          <w:bCs/>
          <w:rtl/>
        </w:rPr>
        <w:t>מזמנים</w:t>
      </w:r>
      <w:r>
        <w:rPr>
          <w:rFonts w:ascii="David" w:eastAsiaTheme="minorHAnsi" w:hAnsi="David"/>
          <w:b/>
          <w:bCs/>
        </w:rPr>
        <w:t xml:space="preserve"> </w:t>
      </w:r>
      <w:r>
        <w:rPr>
          <w:rFonts w:ascii="David" w:eastAsiaTheme="minorHAnsi" w:hAnsi="David"/>
          <w:b/>
          <w:bCs/>
          <w:rtl/>
        </w:rPr>
        <w:t>אתגרים</w:t>
      </w:r>
      <w:r>
        <w:rPr>
          <w:rFonts w:ascii="David" w:eastAsiaTheme="minorHAnsi" w:hAnsi="David"/>
          <w:b/>
          <w:bCs/>
        </w:rPr>
        <w:t xml:space="preserve"> </w:t>
      </w:r>
      <w:r>
        <w:rPr>
          <w:rFonts w:ascii="David" w:eastAsiaTheme="minorHAnsi" w:hAnsi="David"/>
          <w:b/>
          <w:bCs/>
          <w:rtl/>
        </w:rPr>
        <w:t>רבים</w:t>
      </w:r>
      <w:r>
        <w:rPr>
          <w:rFonts w:ascii="David" w:eastAsiaTheme="minorHAnsi" w:hAnsi="David"/>
          <w:b/>
          <w:bCs/>
        </w:rPr>
        <w:t xml:space="preserve"> </w:t>
      </w:r>
      <w:r>
        <w:rPr>
          <w:rFonts w:ascii="David" w:eastAsiaTheme="minorHAnsi" w:hAnsi="David"/>
          <w:b/>
          <w:bCs/>
          <w:rtl/>
        </w:rPr>
        <w:t>גם</w:t>
      </w:r>
      <w:r>
        <w:rPr>
          <w:rFonts w:ascii="David" w:eastAsiaTheme="minorHAnsi" w:hAnsi="David"/>
          <w:b/>
          <w:bCs/>
        </w:rPr>
        <w:t xml:space="preserve"> </w:t>
      </w:r>
      <w:r>
        <w:rPr>
          <w:rFonts w:ascii="David" w:eastAsiaTheme="minorHAnsi" w:hAnsi="David"/>
          <w:b/>
          <w:bCs/>
          <w:rtl/>
        </w:rPr>
        <w:t>אלמלא</w:t>
      </w:r>
      <w:r>
        <w:rPr>
          <w:rFonts w:ascii="David" w:eastAsiaTheme="minorHAnsi" w:hAnsi="David"/>
          <w:b/>
          <w:bCs/>
        </w:rPr>
        <w:t xml:space="preserve"> </w:t>
      </w:r>
      <w:r>
        <w:rPr>
          <w:rFonts w:ascii="David" w:eastAsiaTheme="minorHAnsi" w:hAnsi="David"/>
          <w:b/>
          <w:bCs/>
          <w:rtl/>
        </w:rPr>
        <w:t>הפרידה</w:t>
      </w:r>
      <w:r>
        <w:rPr>
          <w:rFonts w:ascii="David" w:eastAsiaTheme="minorHAnsi" w:hAnsi="David"/>
          <w:b/>
          <w:bCs/>
        </w:rPr>
        <w:t xml:space="preserve"> </w:t>
      </w:r>
      <w:r>
        <w:rPr>
          <w:rFonts w:ascii="David" w:eastAsiaTheme="minorHAnsi" w:hAnsi="David"/>
          <w:b/>
          <w:bCs/>
          <w:rtl/>
        </w:rPr>
        <w:t>והקרע</w:t>
      </w:r>
      <w:r>
        <w:rPr>
          <w:rFonts w:ascii="David" w:eastAsiaTheme="minorHAnsi" w:hAnsi="David"/>
          <w:b/>
          <w:bCs/>
        </w:rPr>
        <w:t xml:space="preserve"> </w:t>
      </w:r>
      <w:r>
        <w:rPr>
          <w:rFonts w:ascii="David" w:eastAsiaTheme="minorHAnsi" w:hAnsi="David"/>
          <w:b/>
          <w:bCs/>
          <w:rtl/>
        </w:rPr>
        <w:t>המשפחתי</w:t>
      </w:r>
      <w:r>
        <w:rPr>
          <w:rFonts w:ascii="David" w:eastAsiaTheme="minorHAnsi" w:hAnsi="David"/>
          <w:b/>
          <w:bCs/>
        </w:rPr>
        <w:t>,</w:t>
      </w:r>
      <w:r>
        <w:rPr>
          <w:rFonts w:ascii="David" w:eastAsiaTheme="minorHAnsi" w:hAnsi="David"/>
          <w:b/>
          <w:bCs/>
          <w:rtl/>
        </w:rPr>
        <w:t xml:space="preserve"> </w:t>
      </w:r>
      <w:r>
        <w:rPr>
          <w:rFonts w:ascii="David" w:eastAsiaTheme="minorHAnsi" w:hAnsi="David" w:hint="cs"/>
          <w:b/>
          <w:bCs/>
          <w:rtl/>
        </w:rPr>
        <w:t>ובית</w:t>
      </w:r>
      <w:r>
        <w:rPr>
          <w:rFonts w:ascii="David" w:eastAsiaTheme="minorHAnsi" w:hAnsi="David"/>
          <w:b/>
          <w:bCs/>
        </w:rPr>
        <w:t xml:space="preserve"> </w:t>
      </w:r>
      <w:r>
        <w:rPr>
          <w:rFonts w:ascii="David" w:eastAsiaTheme="minorHAnsi" w:hAnsi="David"/>
          <w:b/>
          <w:bCs/>
          <w:rtl/>
        </w:rPr>
        <w:t>המשפט</w:t>
      </w:r>
      <w:r>
        <w:rPr>
          <w:rFonts w:ascii="David" w:eastAsiaTheme="minorHAnsi" w:hAnsi="David"/>
          <w:b/>
          <w:bCs/>
        </w:rPr>
        <w:t xml:space="preserve"> </w:t>
      </w:r>
      <w:r>
        <w:rPr>
          <w:rFonts w:ascii="David" w:eastAsiaTheme="minorHAnsi" w:hAnsi="David"/>
          <w:b/>
          <w:bCs/>
          <w:rtl/>
        </w:rPr>
        <w:t>מבקש</w:t>
      </w:r>
      <w:r>
        <w:rPr>
          <w:rFonts w:ascii="David" w:eastAsiaTheme="minorHAnsi" w:hAnsi="David"/>
          <w:b/>
          <w:bCs/>
        </w:rPr>
        <w:t xml:space="preserve"> </w:t>
      </w:r>
      <w:r>
        <w:rPr>
          <w:rFonts w:ascii="David" w:eastAsiaTheme="minorHAnsi" w:hAnsi="David"/>
          <w:b/>
          <w:bCs/>
          <w:rtl/>
        </w:rPr>
        <w:t>לוודא</w:t>
      </w:r>
      <w:r>
        <w:rPr>
          <w:rFonts w:ascii="David" w:eastAsiaTheme="minorHAnsi" w:hAnsi="David"/>
          <w:b/>
          <w:bCs/>
        </w:rPr>
        <w:t xml:space="preserve"> </w:t>
      </w:r>
      <w:r>
        <w:rPr>
          <w:rFonts w:ascii="David" w:eastAsiaTheme="minorHAnsi" w:hAnsi="David"/>
          <w:b/>
          <w:bCs/>
          <w:rtl/>
        </w:rPr>
        <w:t>שהמשפחה</w:t>
      </w:r>
      <w:r>
        <w:rPr>
          <w:rFonts w:ascii="David" w:eastAsiaTheme="minorHAnsi" w:hAnsi="David"/>
          <w:b/>
          <w:bCs/>
        </w:rPr>
        <w:t xml:space="preserve"> </w:t>
      </w:r>
      <w:r>
        <w:rPr>
          <w:rFonts w:ascii="David" w:eastAsiaTheme="minorHAnsi" w:hAnsi="David"/>
          <w:b/>
          <w:bCs/>
          <w:rtl/>
        </w:rPr>
        <w:t>צולחת</w:t>
      </w:r>
      <w:r>
        <w:rPr>
          <w:rFonts w:ascii="David" w:eastAsiaTheme="minorHAnsi" w:hAnsi="David"/>
          <w:b/>
          <w:bCs/>
        </w:rPr>
        <w:t xml:space="preserve"> </w:t>
      </w:r>
      <w:r>
        <w:rPr>
          <w:rFonts w:ascii="David" w:eastAsiaTheme="minorHAnsi" w:hAnsi="David"/>
          <w:b/>
          <w:bCs/>
          <w:rtl/>
        </w:rPr>
        <w:t>את</w:t>
      </w:r>
      <w:r>
        <w:rPr>
          <w:rFonts w:ascii="David" w:eastAsiaTheme="minorHAnsi" w:hAnsi="David"/>
          <w:b/>
          <w:bCs/>
        </w:rPr>
        <w:t xml:space="preserve"> </w:t>
      </w:r>
      <w:r>
        <w:rPr>
          <w:rFonts w:ascii="David" w:eastAsiaTheme="minorHAnsi" w:hAnsi="David"/>
          <w:b/>
          <w:bCs/>
          <w:rtl/>
        </w:rPr>
        <w:t>הסערה</w:t>
      </w:r>
      <w:r>
        <w:rPr>
          <w:rFonts w:ascii="David" w:eastAsiaTheme="minorHAnsi" w:hAnsi="David"/>
          <w:b/>
          <w:bCs/>
        </w:rPr>
        <w:t xml:space="preserve"> </w:t>
      </w:r>
      <w:r>
        <w:rPr>
          <w:rFonts w:ascii="David" w:eastAsiaTheme="minorHAnsi" w:hAnsi="David"/>
          <w:b/>
          <w:bCs/>
          <w:rtl/>
        </w:rPr>
        <w:t>הנוכחית ומגיעה</w:t>
      </w:r>
      <w:r>
        <w:rPr>
          <w:rFonts w:ascii="David" w:eastAsiaTheme="minorHAnsi" w:hAnsi="David"/>
          <w:b/>
          <w:bCs/>
        </w:rPr>
        <w:t xml:space="preserve"> – </w:t>
      </w:r>
      <w:r>
        <w:rPr>
          <w:rFonts w:ascii="David" w:eastAsiaTheme="minorHAnsi" w:hAnsi="David"/>
          <w:b/>
          <w:bCs/>
          <w:rtl/>
        </w:rPr>
        <w:t>כולה, הורים</w:t>
      </w:r>
      <w:r>
        <w:rPr>
          <w:rFonts w:ascii="David" w:eastAsiaTheme="minorHAnsi" w:hAnsi="David"/>
          <w:b/>
          <w:bCs/>
        </w:rPr>
        <w:t xml:space="preserve"> </w:t>
      </w:r>
      <w:r>
        <w:rPr>
          <w:rFonts w:ascii="David" w:eastAsiaTheme="minorHAnsi" w:hAnsi="David"/>
          <w:b/>
          <w:bCs/>
          <w:rtl/>
        </w:rPr>
        <w:t>וילדים</w:t>
      </w:r>
      <w:r>
        <w:rPr>
          <w:rFonts w:ascii="David" w:eastAsiaTheme="minorHAnsi" w:hAnsi="David"/>
          <w:b/>
          <w:bCs/>
        </w:rPr>
        <w:t xml:space="preserve"> – </w:t>
      </w:r>
      <w:r>
        <w:rPr>
          <w:rFonts w:ascii="David" w:eastAsiaTheme="minorHAnsi" w:hAnsi="David"/>
          <w:b/>
          <w:bCs/>
          <w:rtl/>
        </w:rPr>
        <w:t>לחוף</w:t>
      </w:r>
      <w:r>
        <w:rPr>
          <w:rFonts w:ascii="David" w:eastAsiaTheme="minorHAnsi" w:hAnsi="David"/>
          <w:b/>
          <w:bCs/>
        </w:rPr>
        <w:t xml:space="preserve"> </w:t>
      </w:r>
      <w:r>
        <w:rPr>
          <w:rFonts w:ascii="David" w:eastAsiaTheme="minorHAnsi" w:hAnsi="David"/>
          <w:b/>
          <w:bCs/>
          <w:rtl/>
        </w:rPr>
        <w:t>מבטחים</w:t>
      </w:r>
      <w:r>
        <w:rPr>
          <w:rFonts w:ascii="David" w:eastAsiaTheme="minorHAnsi" w:hAnsi="David"/>
          <w:b/>
          <w:bCs/>
        </w:rPr>
        <w:t>"</w:t>
      </w:r>
      <w:r>
        <w:rPr>
          <w:rFonts w:ascii="David" w:eastAsiaTheme="minorHAnsi" w:hAnsi="David"/>
          <w:b/>
          <w:bCs/>
          <w:rtl/>
        </w:rPr>
        <w:t>.</w:t>
      </w:r>
    </w:p>
    <w:p w:rsidR="00301308" w:rsidRDefault="00301308" w:rsidP="00301308">
      <w:pPr>
        <w:spacing w:after="120" w:line="360" w:lineRule="auto"/>
        <w:ind w:left="720" w:hanging="720"/>
        <w:jc w:val="both"/>
        <w:rPr>
          <w:rFonts w:ascii="David" w:hAnsi="David"/>
          <w:rtl/>
        </w:rPr>
      </w:pPr>
      <w:r>
        <w:rPr>
          <w:rFonts w:ascii="David" w:hAnsi="David"/>
          <w:b/>
          <w:bCs/>
          <w:rtl/>
        </w:rPr>
        <w:tab/>
      </w:r>
      <w:r>
        <w:rPr>
          <w:rFonts w:ascii="David" w:hAnsi="David"/>
          <w:rtl/>
        </w:rPr>
        <w:t>היינו – החלטה שקולה וזהירה של בית משפט קמא.</w:t>
      </w:r>
    </w:p>
    <w:p w:rsidR="00301308" w:rsidRDefault="00301308" w:rsidP="00301308">
      <w:pPr>
        <w:spacing w:after="120" w:line="360" w:lineRule="auto"/>
        <w:ind w:left="720" w:hanging="720"/>
        <w:jc w:val="both"/>
        <w:rPr>
          <w:rFonts w:ascii="David" w:hAnsi="David"/>
          <w:rtl/>
        </w:rPr>
      </w:pPr>
      <w:r>
        <w:rPr>
          <w:rFonts w:ascii="David" w:hAnsi="David"/>
          <w:rtl/>
        </w:rPr>
        <w:t>33.</w:t>
      </w:r>
      <w:r>
        <w:rPr>
          <w:rFonts w:ascii="David" w:hAnsi="David"/>
          <w:rtl/>
        </w:rPr>
        <w:tab/>
        <w:t>העובדה כי במסגרת התסקיר הומלץ כי זמני השהות שבין המשיב והקטינים יתקיימו לפחות לתקופה הקרובה במרכז הקשר, הרי המלצה זאת אינה מחייבת את בית המשפט (ראו בנדון הפסיקה שהביא המשיב בתשובתו, בסעיפים 43-48, המדברת בעד עצמה).</w:t>
      </w:r>
    </w:p>
    <w:p w:rsidR="00301308" w:rsidRDefault="00301308" w:rsidP="00301308">
      <w:pPr>
        <w:spacing w:after="120" w:line="360" w:lineRule="auto"/>
        <w:ind w:left="720"/>
        <w:jc w:val="both"/>
        <w:rPr>
          <w:rFonts w:ascii="David" w:hAnsi="David"/>
          <w:rtl/>
        </w:rPr>
      </w:pPr>
      <w:r>
        <w:rPr>
          <w:rFonts w:ascii="David" w:hAnsi="David"/>
          <w:rtl/>
        </w:rPr>
        <w:t xml:space="preserve">בכל אופן השופטת קמא נימקה החלטותיה בנדון לגבי מפגשי האב עם הקטינים, הן בהחלטות נשוא הרמ"ש והן אלה שלאחריה (כמפורט בתשובת המשיב, וכפי שאף אנוכי עיינתי בהן במסגרת התיק קמא, וחלקן אף הוזכרו לעיל), </w:t>
      </w:r>
      <w:r>
        <w:rPr>
          <w:rFonts w:ascii="David" w:hAnsi="David"/>
          <w:b/>
          <w:bCs/>
          <w:rtl/>
        </w:rPr>
        <w:t>לימדו על הצדקת הסטייה מהמלצות התסקיר, ולא מצאתי בהן טעות שתחייב את התערבות ערכאת הערעור</w:t>
      </w:r>
      <w:r>
        <w:rPr>
          <w:rFonts w:ascii="David" w:hAnsi="David"/>
          <w:rtl/>
        </w:rPr>
        <w:t xml:space="preserve">. </w:t>
      </w:r>
    </w:p>
    <w:p w:rsidR="00301308" w:rsidRDefault="00301308" w:rsidP="00301308">
      <w:pPr>
        <w:spacing w:after="120" w:line="360" w:lineRule="auto"/>
        <w:ind w:left="720" w:hanging="720"/>
        <w:jc w:val="both"/>
        <w:rPr>
          <w:rFonts w:ascii="David" w:hAnsi="David"/>
          <w:rtl/>
        </w:rPr>
      </w:pPr>
      <w:r>
        <w:rPr>
          <w:rFonts w:ascii="David" w:hAnsi="David"/>
          <w:rtl/>
        </w:rPr>
        <w:t>34.</w:t>
      </w:r>
      <w:r>
        <w:rPr>
          <w:rFonts w:ascii="David" w:hAnsi="David"/>
          <w:rtl/>
        </w:rPr>
        <w:tab/>
        <w:t xml:space="preserve">מובן כי טובתם ושלומם של הקטינים במפגשי המשיב עימם ימשיכו להיבדק על ידי בית משפט, ככל שתועלה טרוניה בנדון על ידי המבקשת. </w:t>
      </w:r>
      <w:r>
        <w:rPr>
          <w:rFonts w:ascii="David" w:hAnsi="David"/>
          <w:b/>
          <w:bCs/>
          <w:rtl/>
        </w:rPr>
        <w:t>ברם לעת הזאת דין הרמ"ש להידחות, וכך אני מורה</w:t>
      </w:r>
      <w:r>
        <w:rPr>
          <w:rFonts w:ascii="David" w:hAnsi="David"/>
          <w:rtl/>
        </w:rPr>
        <w:t>.</w:t>
      </w:r>
    </w:p>
    <w:p w:rsidR="00301308" w:rsidRDefault="00301308" w:rsidP="00301308">
      <w:pPr>
        <w:spacing w:after="120" w:line="360" w:lineRule="auto"/>
        <w:ind w:left="720" w:hanging="720"/>
        <w:jc w:val="both"/>
        <w:rPr>
          <w:rFonts w:ascii="David" w:hAnsi="David"/>
          <w:rtl/>
        </w:rPr>
      </w:pPr>
      <w:r>
        <w:rPr>
          <w:rFonts w:ascii="David" w:hAnsi="David"/>
          <w:rtl/>
        </w:rPr>
        <w:t>35.</w:t>
      </w:r>
      <w:r>
        <w:rPr>
          <w:rFonts w:ascii="David" w:hAnsi="David"/>
          <w:rtl/>
        </w:rPr>
        <w:tab/>
        <w:t>המבקשת תישא בהוצאות המשיב ובשכר טרחת בא כוחו בסכום כולל של 3,000 ₪. סכום זה ישולם לידי המשיב, באמצעות בא כוחו, מתוך הערבון שהפקידה המבקשת.</w:t>
      </w:r>
    </w:p>
    <w:p w:rsidR="00301308" w:rsidRDefault="00301308" w:rsidP="00301308">
      <w:pPr>
        <w:spacing w:after="120" w:line="360" w:lineRule="auto"/>
        <w:ind w:left="720" w:hanging="720"/>
        <w:jc w:val="both"/>
        <w:rPr>
          <w:rFonts w:ascii="David" w:hAnsi="David"/>
          <w:rtl/>
        </w:rPr>
      </w:pPr>
    </w:p>
    <w:p w:rsidR="002F5610" w:rsidRDefault="002F5610" w:rsidP="00301308">
      <w:pPr>
        <w:spacing w:after="120" w:line="360" w:lineRule="auto"/>
        <w:ind w:left="720" w:hanging="720"/>
        <w:jc w:val="both"/>
        <w:rPr>
          <w:rFonts w:ascii="David" w:hAnsi="David"/>
          <w:rtl/>
        </w:rPr>
      </w:pPr>
    </w:p>
    <w:p w:rsidR="002F5610" w:rsidRDefault="002F5610" w:rsidP="00301308">
      <w:pPr>
        <w:spacing w:after="120" w:line="360" w:lineRule="auto"/>
        <w:ind w:left="720" w:hanging="720"/>
        <w:jc w:val="both"/>
        <w:rPr>
          <w:rFonts w:ascii="David" w:hAnsi="David"/>
          <w:rtl/>
        </w:rPr>
      </w:pPr>
    </w:p>
    <w:p w:rsidR="00301308" w:rsidRDefault="00301308" w:rsidP="00301308">
      <w:pPr>
        <w:spacing w:after="120" w:line="360" w:lineRule="auto"/>
        <w:ind w:left="720" w:hanging="720"/>
        <w:jc w:val="both"/>
        <w:rPr>
          <w:rFonts w:ascii="David" w:hAnsi="David"/>
          <w:b/>
          <w:bCs/>
          <w:rtl/>
        </w:rPr>
      </w:pPr>
      <w:r>
        <w:rPr>
          <w:rFonts w:ascii="David" w:hAnsi="David"/>
          <w:b/>
          <w:bCs/>
          <w:rtl/>
        </w:rPr>
        <w:t>המזכירות תעביר פסק דין זה לצדדים.</w:t>
      </w:r>
    </w:p>
    <w:p w:rsidR="00301308" w:rsidRDefault="00301308" w:rsidP="00301308">
      <w:pPr>
        <w:spacing w:after="120" w:line="360" w:lineRule="auto"/>
        <w:ind w:left="720" w:hanging="720"/>
        <w:jc w:val="both"/>
        <w:rPr>
          <w:rFonts w:ascii="David" w:hAnsi="David"/>
          <w:b/>
          <w:bCs/>
          <w:rtl/>
        </w:rPr>
      </w:pPr>
    </w:p>
    <w:p w:rsidR="00694556" w:rsidRPr="00C770E3" w:rsidRDefault="00301308" w:rsidP="005159F9">
      <w:pPr>
        <w:spacing w:after="120" w:line="360" w:lineRule="auto"/>
        <w:ind w:left="720" w:hanging="720"/>
        <w:jc w:val="both"/>
        <w:rPr>
          <w:rFonts w:ascii="Arial" w:hAnsi="Arial"/>
          <w:noProof w:val="0"/>
          <w:rtl/>
        </w:rPr>
      </w:pPr>
      <w:r>
        <w:rPr>
          <w:rFonts w:ascii="David" w:hAnsi="David"/>
          <w:b/>
          <w:bCs/>
          <w:rtl/>
        </w:rPr>
        <w:t xml:space="preserve">פסק דין זה מותר לפרסום תוך השמטת שמות הצדדים וכל פרט מזהה אחר.  </w:t>
      </w:r>
    </w:p>
    <w:p w:rsidR="00694556" w:rsidRDefault="00694556">
      <w:pPr>
        <w:spacing w:line="360" w:lineRule="auto"/>
        <w:jc w:val="both"/>
        <w:rPr>
          <w:rFonts w:ascii="Arial" w:hAnsi="Arial"/>
          <w:noProof w:val="0"/>
          <w:rtl/>
        </w:rPr>
      </w:pPr>
    </w:p>
    <w:p w:rsidR="002F5610" w:rsidRDefault="002F5610">
      <w:pPr>
        <w:spacing w:line="360" w:lineRule="auto"/>
        <w:jc w:val="both"/>
        <w:rPr>
          <w:rFonts w:ascii="Arial" w:hAnsi="Arial"/>
          <w:noProof w:val="0"/>
          <w:rtl/>
        </w:rPr>
      </w:pPr>
    </w:p>
    <w:p w:rsidR="002F5610" w:rsidRPr="00C770E3" w:rsidRDefault="002F5610">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מאי 2023</w:t>
          </w:r>
        </w:sdtContent>
      </w:sdt>
      <w:r w:rsidR="00005C8B">
        <w:rPr>
          <w:rFonts w:ascii="Arial" w:hAnsi="Arial"/>
          <w:noProof w:val="0"/>
          <w:rtl/>
        </w:rPr>
        <w:t>, בהעדר הצדדים.</w:t>
      </w:r>
    </w:p>
    <w:p w:rsidR="00C43648" w:rsidRDefault="00E8659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65512876"/>
        </w:sdtPr>
        <w:sdtEndPr/>
        <w:sdtContent>
          <w:r w:rsidR="00527755">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5159F9">
      <w:headerReference w:type="even" r:id="rId8"/>
      <w:headerReference w:type="default" r:id="rId9"/>
      <w:footerReference w:type="even" r:id="rId10"/>
      <w:footerReference w:type="default" r:id="rId11"/>
      <w:headerReference w:type="first" r:id="rId12"/>
      <w:footerReference w:type="first" r:id="rId13"/>
      <w:pgSz w:w="11907" w:h="16840" w:code="9"/>
      <w:pgMar w:top="1440" w:right="1417"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59A" w:rsidRDefault="00E8659A">
      <w:r>
        <w:separator/>
      </w:r>
    </w:p>
  </w:endnote>
  <w:endnote w:type="continuationSeparator" w:id="0">
    <w:p w:rsidR="00E8659A" w:rsidRDefault="00E8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3E6" w:rsidRDefault="007143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B1A8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B1A83">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3E6" w:rsidRDefault="007143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59A" w:rsidRDefault="00E8659A">
      <w:r>
        <w:separator/>
      </w:r>
    </w:p>
  </w:footnote>
  <w:footnote w:type="continuationSeparator" w:id="0">
    <w:p w:rsidR="00E8659A" w:rsidRDefault="00E86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3E6" w:rsidRDefault="007143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301308" w:rsidRDefault="00E8659A" w:rsidP="0063299C">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B859C5">
                <w:rPr>
                  <w:b/>
                  <w:bCs/>
                  <w:noProof w:val="0"/>
                  <w:sz w:val="26"/>
                  <w:szCs w:val="26"/>
                  <w:rtl/>
                </w:rPr>
                <w:t>8845-04-23</w:t>
              </w:r>
            </w:sdtContent>
          </w:sdt>
          <w:bookmarkEnd w:id="0"/>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63299C">
                <w:rPr>
                  <w:rFonts w:hint="cs"/>
                  <w:b/>
                  <w:bCs/>
                  <w:noProof w:val="0"/>
                  <w:sz w:val="26"/>
                  <w:szCs w:val="26"/>
                  <w:rtl/>
                </w:rPr>
                <w:t>ו'</w:t>
              </w:r>
              <w:r w:rsidR="00B859C5">
                <w:rPr>
                  <w:b/>
                  <w:bCs/>
                  <w:noProof w:val="0"/>
                  <w:sz w:val="26"/>
                  <w:szCs w:val="26"/>
                  <w:rtl/>
                </w:rPr>
                <w:t xml:space="preserve"> נ' </w:t>
              </w:r>
              <w:r w:rsidR="0063299C">
                <w:rPr>
                  <w:rFonts w:hint="cs"/>
                  <w:b/>
                  <w:bCs/>
                  <w:noProof w:val="0"/>
                  <w:sz w:val="26"/>
                  <w:szCs w:val="26"/>
                  <w:rtl/>
                </w:rPr>
                <w:t>א'</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3E6" w:rsidRDefault="007143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4554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64103"/>
    <w:rsid w:val="00271B56"/>
    <w:rsid w:val="00272E32"/>
    <w:rsid w:val="002C344E"/>
    <w:rsid w:val="002E75E9"/>
    <w:rsid w:val="002F0B1E"/>
    <w:rsid w:val="002F5610"/>
    <w:rsid w:val="00301308"/>
    <w:rsid w:val="00307A6A"/>
    <w:rsid w:val="00307C40"/>
    <w:rsid w:val="00320433"/>
    <w:rsid w:val="003230C7"/>
    <w:rsid w:val="00327E50"/>
    <w:rsid w:val="0033597A"/>
    <w:rsid w:val="00343D89"/>
    <w:rsid w:val="00362612"/>
    <w:rsid w:val="0036743F"/>
    <w:rsid w:val="003715DD"/>
    <w:rsid w:val="003823E0"/>
    <w:rsid w:val="003A4521"/>
    <w:rsid w:val="003B1A83"/>
    <w:rsid w:val="003B5558"/>
    <w:rsid w:val="003D1C8C"/>
    <w:rsid w:val="003E38C7"/>
    <w:rsid w:val="0040096C"/>
    <w:rsid w:val="004127F0"/>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59F9"/>
    <w:rsid w:val="00520898"/>
    <w:rsid w:val="00523621"/>
    <w:rsid w:val="00524986"/>
    <w:rsid w:val="005268F6"/>
    <w:rsid w:val="00527755"/>
    <w:rsid w:val="00534284"/>
    <w:rsid w:val="00547DB7"/>
    <w:rsid w:val="00557717"/>
    <w:rsid w:val="00570F7F"/>
    <w:rsid w:val="00576A86"/>
    <w:rsid w:val="005F4F09"/>
    <w:rsid w:val="00603F73"/>
    <w:rsid w:val="0061431B"/>
    <w:rsid w:val="00622BAA"/>
    <w:rsid w:val="006306CF"/>
    <w:rsid w:val="0063299C"/>
    <w:rsid w:val="00644E9A"/>
    <w:rsid w:val="00671BD5"/>
    <w:rsid w:val="006805C1"/>
    <w:rsid w:val="00686C21"/>
    <w:rsid w:val="006931C1"/>
    <w:rsid w:val="00694556"/>
    <w:rsid w:val="006C30C5"/>
    <w:rsid w:val="006D3B31"/>
    <w:rsid w:val="006E0D96"/>
    <w:rsid w:val="006E1A53"/>
    <w:rsid w:val="006F56E6"/>
    <w:rsid w:val="00704EDA"/>
    <w:rsid w:val="007143E6"/>
    <w:rsid w:val="007171CA"/>
    <w:rsid w:val="00721122"/>
    <w:rsid w:val="00734689"/>
    <w:rsid w:val="007351F7"/>
    <w:rsid w:val="00753019"/>
    <w:rsid w:val="00754801"/>
    <w:rsid w:val="00761441"/>
    <w:rsid w:val="007706C0"/>
    <w:rsid w:val="00795365"/>
    <w:rsid w:val="007A351D"/>
    <w:rsid w:val="007B7765"/>
    <w:rsid w:val="007C2453"/>
    <w:rsid w:val="007C5BDD"/>
    <w:rsid w:val="007D45E3"/>
    <w:rsid w:val="007E6115"/>
    <w:rsid w:val="007F4609"/>
    <w:rsid w:val="00805EFF"/>
    <w:rsid w:val="00812032"/>
    <w:rsid w:val="00814468"/>
    <w:rsid w:val="008176A1"/>
    <w:rsid w:val="00820005"/>
    <w:rsid w:val="00844318"/>
    <w:rsid w:val="00860102"/>
    <w:rsid w:val="00863F5D"/>
    <w:rsid w:val="00870890"/>
    <w:rsid w:val="00873602"/>
    <w:rsid w:val="00875D12"/>
    <w:rsid w:val="00876170"/>
    <w:rsid w:val="0088479D"/>
    <w:rsid w:val="00891F42"/>
    <w:rsid w:val="00896889"/>
    <w:rsid w:val="008971F8"/>
    <w:rsid w:val="008A6E97"/>
    <w:rsid w:val="008C5714"/>
    <w:rsid w:val="008D10B2"/>
    <w:rsid w:val="00903896"/>
    <w:rsid w:val="00906F3D"/>
    <w:rsid w:val="0094424E"/>
    <w:rsid w:val="00947A19"/>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14749"/>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8659A"/>
    <w:rsid w:val="00E9269D"/>
    <w:rsid w:val="00E962E3"/>
    <w:rsid w:val="00EB6C79"/>
    <w:rsid w:val="00EC37E9"/>
    <w:rsid w:val="00F038D8"/>
    <w:rsid w:val="00F06995"/>
    <w:rsid w:val="00F12D66"/>
    <w:rsid w:val="00F13623"/>
    <w:rsid w:val="00F2502A"/>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4924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51862" w:rsidP="00051862">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51862"/>
    <w:rsid w:val="000A4ACE"/>
    <w:rsid w:val="002D02C4"/>
    <w:rsid w:val="00345C9D"/>
    <w:rsid w:val="003F5AD3"/>
    <w:rsid w:val="0048651F"/>
    <w:rsid w:val="005157ED"/>
    <w:rsid w:val="005171E8"/>
    <w:rsid w:val="00556D67"/>
    <w:rsid w:val="00793995"/>
    <w:rsid w:val="007C6F98"/>
    <w:rsid w:val="007E254A"/>
    <w:rsid w:val="00817811"/>
    <w:rsid w:val="008B4366"/>
    <w:rsid w:val="009133C7"/>
    <w:rsid w:val="009178E4"/>
    <w:rsid w:val="00944C85"/>
    <w:rsid w:val="00961B27"/>
    <w:rsid w:val="00996275"/>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5186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5186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3091</Words>
  <Characters>15460</Characters>
  <Application>Microsoft Office Word</Application>
  <DocSecurity>0</DocSecurity>
  <Lines>128</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2023-05-11T11:16:00Z</dcterms:created>
  <dcterms:modified xsi:type="dcterms:W3CDTF">2023-05-11T11:16:00Z</dcterms:modified>
</cp:coreProperties>
</file>